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B06" w:rsidRPr="003D7B11" w:rsidRDefault="00616B06" w:rsidP="00616B06">
      <w:pPr>
        <w:spacing w:before="100" w:beforeAutospacing="1" w:after="100" w:afterAutospacing="1"/>
        <w:jc w:val="center"/>
        <w:outlineLvl w:val="0"/>
        <w:rPr>
          <w:rFonts w:ascii="Georgia" w:hAnsi="Georgia"/>
          <w:b/>
          <w:bCs/>
          <w:i/>
          <w:iCs/>
          <w:kern w:val="36"/>
          <w:sz w:val="36"/>
          <w:szCs w:val="36"/>
        </w:rPr>
      </w:pPr>
      <w:r w:rsidRPr="003D7B11">
        <w:rPr>
          <w:rFonts w:ascii="Georgia" w:hAnsi="Georgia"/>
          <w:b/>
          <w:bCs/>
          <w:i/>
          <w:iCs/>
          <w:kern w:val="36"/>
          <w:sz w:val="36"/>
          <w:szCs w:val="36"/>
        </w:rPr>
        <w:t>Islam and Modernity: A Glimpse at the Development of Women Islamic Education</w:t>
      </w:r>
      <w:r>
        <w:rPr>
          <w:rFonts w:ascii="Georgia" w:hAnsi="Georgia"/>
          <w:b/>
          <w:bCs/>
          <w:i/>
          <w:iCs/>
          <w:kern w:val="36"/>
          <w:sz w:val="36"/>
          <w:szCs w:val="36"/>
        </w:rPr>
        <w:t xml:space="preserve"> in Northern Nigeria</w:t>
      </w:r>
    </w:p>
    <w:p w:rsidR="00616B06" w:rsidRDefault="00616B06" w:rsidP="00616B06">
      <w:pPr>
        <w:jc w:val="center"/>
        <w:rPr>
          <w:b/>
          <w:bCs/>
          <w:i/>
          <w:iCs/>
          <w:sz w:val="36"/>
          <w:szCs w:val="36"/>
        </w:rPr>
      </w:pPr>
    </w:p>
    <w:p w:rsidR="00616B06" w:rsidRPr="00001F43" w:rsidRDefault="00616B06" w:rsidP="00616B06">
      <w:pPr>
        <w:jc w:val="center"/>
        <w:rPr>
          <w:i/>
          <w:iCs/>
        </w:rPr>
      </w:pPr>
    </w:p>
    <w:p w:rsidR="00616B06" w:rsidRPr="00001F43" w:rsidRDefault="00616B06" w:rsidP="00616B06">
      <w:pPr>
        <w:jc w:val="center"/>
        <w:rPr>
          <w:rFonts w:ascii="Georgia" w:hAnsi="Georgia" w:cs="Traditional Arabic"/>
          <w:i/>
          <w:iCs/>
        </w:rPr>
      </w:pPr>
    </w:p>
    <w:p w:rsidR="00616B06" w:rsidRPr="00001F43" w:rsidRDefault="00616B06" w:rsidP="00616B06">
      <w:pPr>
        <w:pStyle w:val="Heading3"/>
        <w:jc w:val="center"/>
        <w:rPr>
          <w:rFonts w:ascii="Georgia" w:hAnsi="Georgia"/>
          <w:b w:val="0"/>
          <w:bCs w:val="0"/>
          <w:i/>
          <w:iCs/>
          <w:color w:val="auto"/>
          <w:sz w:val="32"/>
          <w:szCs w:val="38"/>
        </w:rPr>
      </w:pPr>
      <w:r w:rsidRPr="00001F43">
        <w:rPr>
          <w:rFonts w:ascii="Georgia" w:hAnsi="Georgia"/>
          <w:b w:val="0"/>
          <w:bCs w:val="0"/>
          <w:i/>
          <w:iCs/>
          <w:color w:val="auto"/>
          <w:sz w:val="32"/>
          <w:szCs w:val="38"/>
        </w:rPr>
        <w:t>By</w:t>
      </w:r>
    </w:p>
    <w:p w:rsidR="00616B06" w:rsidRPr="00001F43" w:rsidRDefault="00616B06" w:rsidP="00616B06">
      <w:pPr>
        <w:jc w:val="center"/>
        <w:rPr>
          <w:rFonts w:ascii="Georgia" w:hAnsi="Georgia" w:cs="Traditional Arabic"/>
          <w:i/>
          <w:iCs/>
        </w:rPr>
      </w:pPr>
    </w:p>
    <w:p w:rsidR="00616B06" w:rsidRPr="00B35B23" w:rsidRDefault="00616B06" w:rsidP="00616B06">
      <w:pPr>
        <w:rPr>
          <w:rFonts w:ascii="Georgia" w:hAnsi="Georgia" w:cs="Traditional Arabic"/>
        </w:rPr>
      </w:pPr>
    </w:p>
    <w:p w:rsidR="00616B06" w:rsidRPr="00B35B23" w:rsidRDefault="00616B06" w:rsidP="00616B06">
      <w:pPr>
        <w:jc w:val="center"/>
        <w:rPr>
          <w:rFonts w:ascii="Georgia" w:hAnsi="Georgia" w:cs="Traditional Arabic"/>
          <w:b/>
          <w:bCs/>
          <w:i/>
          <w:iCs/>
          <w:sz w:val="36"/>
          <w:szCs w:val="43"/>
        </w:rPr>
      </w:pPr>
    </w:p>
    <w:p w:rsidR="00616B06" w:rsidRPr="00B35B23" w:rsidRDefault="00616B06" w:rsidP="00616B06">
      <w:pPr>
        <w:jc w:val="center"/>
        <w:rPr>
          <w:rFonts w:ascii="Georgia" w:hAnsi="Georgia" w:cs="Traditional Arabic"/>
          <w:b/>
          <w:bCs/>
          <w:i/>
          <w:iCs/>
          <w:sz w:val="36"/>
          <w:szCs w:val="43"/>
        </w:rPr>
      </w:pPr>
    </w:p>
    <w:p w:rsidR="00616B06" w:rsidRPr="00B35B23" w:rsidRDefault="00616B06" w:rsidP="00616B06">
      <w:pPr>
        <w:jc w:val="center"/>
        <w:rPr>
          <w:rFonts w:ascii="Georgia" w:hAnsi="Georgia" w:cs="Traditional Arabic"/>
          <w:sz w:val="36"/>
          <w:szCs w:val="43"/>
        </w:rPr>
      </w:pPr>
      <w:r w:rsidRPr="00B35B23">
        <w:rPr>
          <w:rFonts w:ascii="Georgia" w:hAnsi="Georgia" w:cs="Traditional Arabic"/>
          <w:sz w:val="36"/>
          <w:szCs w:val="43"/>
        </w:rPr>
        <w:t>Salihu Lawal (PhD)</w:t>
      </w:r>
    </w:p>
    <w:p w:rsidR="00616B06" w:rsidRPr="00B35B23" w:rsidRDefault="00616B06" w:rsidP="00616B06">
      <w:pPr>
        <w:jc w:val="center"/>
        <w:rPr>
          <w:rFonts w:ascii="Georgia" w:hAnsi="Georgia" w:cs="Traditional Arabic"/>
          <w:i/>
          <w:iCs/>
          <w:sz w:val="36"/>
          <w:szCs w:val="43"/>
        </w:rPr>
      </w:pPr>
      <w:r>
        <w:rPr>
          <w:rFonts w:ascii="Georgia" w:hAnsi="Georgia" w:cs="Traditional Arabic"/>
          <w:i/>
          <w:iCs/>
          <w:sz w:val="36"/>
          <w:szCs w:val="43"/>
        </w:rPr>
        <w:t>Department of Islamic Studies &amp; Shari’ah</w:t>
      </w:r>
    </w:p>
    <w:p w:rsidR="00616B06" w:rsidRPr="00B35B23" w:rsidRDefault="00616B06" w:rsidP="00616B06">
      <w:pPr>
        <w:jc w:val="center"/>
        <w:rPr>
          <w:rFonts w:ascii="Georgia" w:hAnsi="Georgia" w:cs="Traditional Arabic"/>
          <w:b/>
          <w:bCs/>
          <w:i/>
          <w:iCs/>
          <w:sz w:val="36"/>
          <w:szCs w:val="43"/>
        </w:rPr>
      </w:pPr>
      <w:r w:rsidRPr="00B35B23">
        <w:rPr>
          <w:rFonts w:ascii="Georgia" w:hAnsi="Georgia" w:cs="Traditional Arabic"/>
          <w:i/>
          <w:iCs/>
          <w:sz w:val="36"/>
          <w:szCs w:val="43"/>
        </w:rPr>
        <w:t>Bayero University, Kano</w:t>
      </w:r>
    </w:p>
    <w:p w:rsidR="00616B06" w:rsidRDefault="00616B06" w:rsidP="00616B06">
      <w:pPr>
        <w:jc w:val="center"/>
        <w:rPr>
          <w:rFonts w:ascii="Georgia" w:hAnsi="Georgia" w:cs="Traditional Arabic"/>
        </w:rPr>
      </w:pPr>
      <w:hyperlink r:id="rId6" w:history="1">
        <w:r w:rsidRPr="00B35B23">
          <w:rPr>
            <w:rStyle w:val="Hyperlink"/>
            <w:rFonts w:ascii="Georgia" w:eastAsiaTheme="majorEastAsia" w:hAnsi="Georgia" w:cs="Traditional Arabic"/>
            <w:i/>
            <w:iCs/>
          </w:rPr>
          <w:t>salwalmal@yahoo.com</w:t>
        </w:r>
      </w:hyperlink>
    </w:p>
    <w:p w:rsidR="00616B06" w:rsidRPr="00B35B23" w:rsidRDefault="00616B06" w:rsidP="00616B06">
      <w:pPr>
        <w:jc w:val="center"/>
        <w:rPr>
          <w:rFonts w:ascii="Georgia" w:hAnsi="Georgia" w:cs="Traditional Arabic"/>
          <w:b/>
          <w:bCs/>
          <w:szCs w:val="28"/>
        </w:rPr>
      </w:pPr>
      <w:r>
        <w:rPr>
          <w:rFonts w:ascii="Georgia" w:hAnsi="Georgia" w:cs="Traditional Arabic"/>
          <w:b/>
          <w:bCs/>
          <w:szCs w:val="28"/>
        </w:rPr>
        <w:t>+23480899724</w:t>
      </w:r>
      <w:r w:rsidRPr="00B35B23">
        <w:rPr>
          <w:rFonts w:ascii="Georgia" w:hAnsi="Georgia" w:cs="Traditional Arabic"/>
          <w:b/>
          <w:bCs/>
          <w:szCs w:val="28"/>
        </w:rPr>
        <w:t xml:space="preserve">00, </w:t>
      </w:r>
      <w:r>
        <w:rPr>
          <w:rFonts w:ascii="Georgia" w:hAnsi="Georgia" w:cs="Traditional Arabic"/>
          <w:b/>
          <w:bCs/>
          <w:szCs w:val="28"/>
        </w:rPr>
        <w:t>+23470392551</w:t>
      </w:r>
      <w:r w:rsidRPr="00B35B23">
        <w:rPr>
          <w:rFonts w:ascii="Georgia" w:hAnsi="Georgia" w:cs="Traditional Arabic"/>
          <w:b/>
          <w:bCs/>
          <w:szCs w:val="28"/>
        </w:rPr>
        <w:t>66</w:t>
      </w:r>
    </w:p>
    <w:p w:rsidR="00616B06" w:rsidRDefault="00616B06" w:rsidP="00616B06">
      <w:pPr>
        <w:jc w:val="center"/>
        <w:rPr>
          <w:rFonts w:ascii="Georgia" w:hAnsi="Georgia" w:cs="Traditional Arabic"/>
          <w:b/>
          <w:bCs/>
          <w:i/>
          <w:iCs/>
          <w:szCs w:val="28"/>
        </w:rPr>
      </w:pPr>
    </w:p>
    <w:p w:rsidR="00616B06" w:rsidRDefault="00616B06" w:rsidP="00616B06">
      <w:pPr>
        <w:jc w:val="center"/>
        <w:rPr>
          <w:rFonts w:ascii="Georgia" w:hAnsi="Georgia" w:cs="Traditional Arabic"/>
          <w:b/>
          <w:bCs/>
          <w:i/>
          <w:iCs/>
          <w:szCs w:val="28"/>
        </w:rPr>
      </w:pPr>
    </w:p>
    <w:p w:rsidR="00616B06" w:rsidRPr="00B35B23" w:rsidRDefault="00616B06" w:rsidP="00616B06">
      <w:pPr>
        <w:jc w:val="center"/>
        <w:rPr>
          <w:rFonts w:ascii="Georgia" w:hAnsi="Georgia" w:cs="Traditional Arabic"/>
          <w:b/>
          <w:bCs/>
          <w:i/>
          <w:iCs/>
          <w:szCs w:val="28"/>
        </w:rPr>
      </w:pPr>
    </w:p>
    <w:p w:rsidR="00616B06" w:rsidRPr="00B35B23" w:rsidRDefault="00616B06" w:rsidP="00616B06">
      <w:pPr>
        <w:rPr>
          <w:rFonts w:ascii="Georgia" w:hAnsi="Georgia" w:cs="Traditional Arabic"/>
          <w:b/>
          <w:bCs/>
          <w:sz w:val="36"/>
          <w:szCs w:val="43"/>
        </w:rPr>
      </w:pPr>
    </w:p>
    <w:p w:rsidR="00616B06" w:rsidRPr="00B35B23" w:rsidRDefault="00616B06" w:rsidP="00616B06">
      <w:pPr>
        <w:tabs>
          <w:tab w:val="left" w:pos="4875"/>
        </w:tabs>
        <w:rPr>
          <w:rFonts w:ascii="Georgia" w:hAnsi="Georgia" w:cs="Traditional Arabic"/>
        </w:rPr>
      </w:pPr>
      <w:r w:rsidRPr="00B35B23">
        <w:rPr>
          <w:rFonts w:ascii="Georgia" w:hAnsi="Georgia" w:cs="Traditional Arabic"/>
        </w:rPr>
        <w:tab/>
      </w:r>
    </w:p>
    <w:p w:rsidR="00616B06" w:rsidRDefault="00616B06" w:rsidP="00616B06">
      <w:pPr>
        <w:pStyle w:val="Heading3"/>
        <w:spacing w:before="0"/>
        <w:ind w:left="-720" w:right="-720"/>
        <w:jc w:val="center"/>
        <w:rPr>
          <w:rFonts w:ascii="Georgia" w:hAnsi="Georgia"/>
          <w:b w:val="0"/>
          <w:bCs w:val="0"/>
          <w:i/>
          <w:iCs/>
          <w:color w:val="auto"/>
          <w:sz w:val="32"/>
          <w:szCs w:val="32"/>
        </w:rPr>
      </w:pPr>
      <w:r w:rsidRPr="007A3AD8">
        <w:rPr>
          <w:rFonts w:ascii="Georgia" w:hAnsi="Georgia"/>
          <w:b w:val="0"/>
          <w:bCs w:val="0"/>
          <w:i/>
          <w:iCs/>
          <w:color w:val="auto"/>
          <w:sz w:val="32"/>
          <w:szCs w:val="32"/>
        </w:rPr>
        <w:t xml:space="preserve">Being a </w:t>
      </w:r>
    </w:p>
    <w:p w:rsidR="00616B06" w:rsidRPr="007A3AD8" w:rsidRDefault="00616B06" w:rsidP="00616B06"/>
    <w:p w:rsidR="00616B06" w:rsidRPr="007A3AD8" w:rsidRDefault="00616B06" w:rsidP="00616B06">
      <w:pPr>
        <w:pStyle w:val="Heading3"/>
        <w:spacing w:before="0"/>
        <w:ind w:left="-720" w:right="-720"/>
        <w:jc w:val="center"/>
        <w:rPr>
          <w:rFonts w:ascii="Georgia" w:hAnsi="Georgia"/>
          <w:b w:val="0"/>
          <w:bCs w:val="0"/>
          <w:i/>
          <w:iCs/>
          <w:color w:val="auto"/>
          <w:sz w:val="28"/>
          <w:szCs w:val="28"/>
        </w:rPr>
      </w:pPr>
      <w:r w:rsidRPr="007A3AD8">
        <w:rPr>
          <w:rFonts w:ascii="Georgia" w:hAnsi="Georgia"/>
          <w:b w:val="0"/>
          <w:bCs w:val="0"/>
          <w:i/>
          <w:iCs/>
          <w:color w:val="auto"/>
          <w:sz w:val="28"/>
          <w:szCs w:val="28"/>
        </w:rPr>
        <w:t>Seminar Paper Presented at an International Conference in honour of Professor Muhammad Sani Zahradeen OFR(The Grand Imam of Kano)</w:t>
      </w:r>
    </w:p>
    <w:p w:rsidR="00616B06" w:rsidRDefault="00616B06" w:rsidP="00616B06">
      <w:pPr>
        <w:ind w:left="-720" w:right="-720"/>
        <w:jc w:val="center"/>
        <w:rPr>
          <w:sz w:val="32"/>
          <w:szCs w:val="32"/>
        </w:rPr>
      </w:pPr>
    </w:p>
    <w:p w:rsidR="00616B06" w:rsidRPr="00001F43" w:rsidRDefault="00616B06" w:rsidP="00616B06">
      <w:pPr>
        <w:ind w:left="-720" w:right="-720"/>
        <w:jc w:val="center"/>
        <w:rPr>
          <w:sz w:val="32"/>
          <w:szCs w:val="32"/>
        </w:rPr>
      </w:pPr>
    </w:p>
    <w:p w:rsidR="00616B06" w:rsidRDefault="00616B06" w:rsidP="00616B06"/>
    <w:p w:rsidR="00616B06" w:rsidRPr="000531B0" w:rsidRDefault="00616B06" w:rsidP="00616B06">
      <w:pPr>
        <w:pStyle w:val="Heading3"/>
        <w:jc w:val="center"/>
        <w:rPr>
          <w:rFonts w:ascii="Georgia" w:hAnsi="Georgia"/>
          <w:i/>
          <w:iCs/>
          <w:color w:val="auto"/>
          <w:sz w:val="28"/>
          <w:szCs w:val="28"/>
        </w:rPr>
      </w:pPr>
      <w:r w:rsidRPr="000531B0">
        <w:rPr>
          <w:rFonts w:ascii="Georgia" w:hAnsi="Georgia"/>
          <w:i/>
          <w:iCs/>
          <w:color w:val="auto"/>
          <w:sz w:val="28"/>
          <w:szCs w:val="28"/>
        </w:rPr>
        <w:t>Held at</w:t>
      </w:r>
    </w:p>
    <w:p w:rsidR="00616B06" w:rsidRDefault="00616B06" w:rsidP="00616B06"/>
    <w:p w:rsidR="00616B06" w:rsidRDefault="00616B06" w:rsidP="00616B06"/>
    <w:p w:rsidR="00616B06" w:rsidRDefault="00616B06" w:rsidP="00616B06"/>
    <w:p w:rsidR="00616B06" w:rsidRDefault="00616B06" w:rsidP="00616B06"/>
    <w:p w:rsidR="00616B06" w:rsidRDefault="00616B06" w:rsidP="00616B06"/>
    <w:p w:rsidR="00616B06" w:rsidRDefault="00616B06" w:rsidP="00616B06"/>
    <w:p w:rsidR="00616B06" w:rsidRDefault="00616B06" w:rsidP="00616B06"/>
    <w:p w:rsidR="00616B06" w:rsidRDefault="00616B06" w:rsidP="00616B06"/>
    <w:p w:rsidR="00616B06" w:rsidRPr="00001F43" w:rsidRDefault="00616B06" w:rsidP="00616B06">
      <w:pPr>
        <w:ind w:left="-900" w:right="-900"/>
        <w:jc w:val="center"/>
        <w:rPr>
          <w:b/>
          <w:bCs/>
          <w:sz w:val="32"/>
          <w:szCs w:val="32"/>
        </w:rPr>
      </w:pPr>
      <w:r w:rsidRPr="00001F43">
        <w:rPr>
          <w:rFonts w:ascii="Georgia" w:hAnsi="Georgia"/>
          <w:b/>
          <w:bCs/>
          <w:sz w:val="32"/>
          <w:szCs w:val="32"/>
        </w:rPr>
        <w:t>Musa Abdullahi Auditorium, Bayero University, Kano</w:t>
      </w:r>
    </w:p>
    <w:p w:rsidR="00616B06" w:rsidRPr="00001F43" w:rsidRDefault="00616B06" w:rsidP="00616B06">
      <w:pPr>
        <w:bidi/>
        <w:jc w:val="center"/>
        <w:rPr>
          <w:b/>
          <w:bCs/>
          <w:sz w:val="32"/>
          <w:szCs w:val="32"/>
        </w:rPr>
      </w:pPr>
      <w:r w:rsidRPr="00001F43">
        <w:rPr>
          <w:b/>
          <w:bCs/>
          <w:sz w:val="32"/>
          <w:szCs w:val="32"/>
        </w:rPr>
        <w:t xml:space="preserve">26th Rajab 1436AH </w:t>
      </w:r>
      <w:r w:rsidRPr="00001F43">
        <w:rPr>
          <w:sz w:val="32"/>
          <w:szCs w:val="32"/>
        </w:rPr>
        <w:t>(14</w:t>
      </w:r>
      <w:r w:rsidRPr="00001F43">
        <w:rPr>
          <w:sz w:val="32"/>
          <w:szCs w:val="32"/>
          <w:vertAlign w:val="superscript"/>
        </w:rPr>
        <w:t>th</w:t>
      </w:r>
      <w:r w:rsidRPr="00001F43">
        <w:rPr>
          <w:sz w:val="32"/>
          <w:szCs w:val="32"/>
        </w:rPr>
        <w:t xml:space="preserve"> – 18</w:t>
      </w:r>
      <w:r w:rsidRPr="00001F43">
        <w:rPr>
          <w:sz w:val="32"/>
          <w:szCs w:val="32"/>
          <w:vertAlign w:val="superscript"/>
        </w:rPr>
        <w:t xml:space="preserve">th </w:t>
      </w:r>
      <w:r w:rsidRPr="00001F43">
        <w:rPr>
          <w:sz w:val="32"/>
          <w:szCs w:val="32"/>
        </w:rPr>
        <w:t>May 2015CE)</w:t>
      </w:r>
    </w:p>
    <w:p w:rsidR="00616B06" w:rsidRDefault="00616B06" w:rsidP="00616B06">
      <w:pPr>
        <w:shd w:val="clear" w:color="auto" w:fill="FFFFFF"/>
        <w:autoSpaceDE w:val="0"/>
        <w:autoSpaceDN w:val="0"/>
        <w:adjustRightInd w:val="0"/>
        <w:jc w:val="center"/>
        <w:rPr>
          <w:rFonts w:ascii="Georgia" w:hAnsi="Georgia"/>
          <w:i/>
          <w:iCs/>
          <w:color w:val="000000"/>
          <w:sz w:val="16"/>
          <w:szCs w:val="16"/>
        </w:rPr>
      </w:pPr>
    </w:p>
    <w:p w:rsidR="00616B06" w:rsidRDefault="00616B06" w:rsidP="00616B06">
      <w:pPr>
        <w:jc w:val="center"/>
        <w:rPr>
          <w:b/>
          <w:bCs/>
          <w:i/>
          <w:iCs/>
          <w:sz w:val="36"/>
          <w:szCs w:val="36"/>
        </w:rPr>
      </w:pPr>
    </w:p>
    <w:p w:rsidR="00616B06" w:rsidRPr="007A70A8" w:rsidRDefault="00616B06" w:rsidP="00616B06">
      <w:pPr>
        <w:spacing w:before="100" w:beforeAutospacing="1" w:after="100" w:afterAutospacing="1"/>
        <w:jc w:val="center"/>
        <w:outlineLvl w:val="0"/>
        <w:rPr>
          <w:rFonts w:ascii="Georgia" w:hAnsi="Georgia"/>
          <w:b/>
          <w:bCs/>
          <w:i/>
          <w:iCs/>
          <w:kern w:val="36"/>
          <w:sz w:val="32"/>
          <w:szCs w:val="32"/>
        </w:rPr>
      </w:pPr>
      <w:r w:rsidRPr="007A70A8">
        <w:rPr>
          <w:rFonts w:ascii="Georgia" w:hAnsi="Georgia"/>
          <w:b/>
          <w:bCs/>
          <w:i/>
          <w:iCs/>
          <w:kern w:val="36"/>
          <w:sz w:val="32"/>
          <w:szCs w:val="32"/>
        </w:rPr>
        <w:t xml:space="preserve">Abstract </w:t>
      </w:r>
    </w:p>
    <w:p w:rsidR="00616B06" w:rsidRPr="003D7B11" w:rsidRDefault="00616B06" w:rsidP="00616B06">
      <w:pPr>
        <w:spacing w:before="100" w:beforeAutospacing="1" w:after="100" w:afterAutospacing="1"/>
        <w:jc w:val="center"/>
        <w:outlineLvl w:val="0"/>
        <w:rPr>
          <w:rFonts w:ascii="Georgia" w:hAnsi="Georgia"/>
          <w:b/>
          <w:bCs/>
          <w:i/>
          <w:iCs/>
          <w:kern w:val="36"/>
          <w:sz w:val="36"/>
          <w:szCs w:val="36"/>
        </w:rPr>
      </w:pPr>
      <w:r w:rsidRPr="003D7B11">
        <w:rPr>
          <w:rFonts w:ascii="Georgia" w:hAnsi="Georgia"/>
          <w:b/>
          <w:bCs/>
          <w:i/>
          <w:iCs/>
          <w:kern w:val="36"/>
          <w:sz w:val="36"/>
          <w:szCs w:val="36"/>
        </w:rPr>
        <w:t>Islam and Modernity: A Glimpse at the Development of Women Islamic Education</w:t>
      </w:r>
      <w:r>
        <w:rPr>
          <w:rFonts w:ascii="Georgia" w:hAnsi="Georgia"/>
          <w:b/>
          <w:bCs/>
          <w:i/>
          <w:iCs/>
          <w:kern w:val="36"/>
          <w:sz w:val="36"/>
          <w:szCs w:val="36"/>
        </w:rPr>
        <w:t xml:space="preserve"> in Northern Nigeria</w:t>
      </w:r>
    </w:p>
    <w:p w:rsidR="00616B06" w:rsidRPr="00743BB2" w:rsidRDefault="00616B06" w:rsidP="00616B06">
      <w:pPr>
        <w:shd w:val="clear" w:color="auto" w:fill="FFFFFF"/>
        <w:autoSpaceDE w:val="0"/>
        <w:autoSpaceDN w:val="0"/>
        <w:adjustRightInd w:val="0"/>
        <w:spacing w:line="360" w:lineRule="auto"/>
        <w:jc w:val="both"/>
        <w:rPr>
          <w:rFonts w:ascii="Georgia" w:hAnsi="Georgia"/>
          <w:i/>
          <w:iCs/>
        </w:rPr>
      </w:pPr>
      <w:r w:rsidRPr="00743BB2">
        <w:rPr>
          <w:rFonts w:ascii="Georgia" w:hAnsi="Georgia" w:cs="ZJansonText-Roman"/>
          <w:i/>
          <w:iCs/>
        </w:rPr>
        <w:t xml:space="preserve">Islam considers women as individuals responsible for their moral individualityand distinctiveness. </w:t>
      </w:r>
      <w:r w:rsidRPr="00743BB2">
        <w:rPr>
          <w:rFonts w:ascii="Georgia" w:hAnsi="Georgia"/>
          <w:i/>
          <w:iCs/>
        </w:rPr>
        <w:t>It gives both men and women various respective privileges.</w:t>
      </w:r>
      <w:r w:rsidRPr="00743BB2">
        <w:rPr>
          <w:rFonts w:ascii="Georgia" w:hAnsi="Georgia" w:cs="ZJansonText-Roman"/>
          <w:i/>
          <w:iCs/>
        </w:rPr>
        <w:t xml:space="preserve"> The Qur’an and Hadith provide general principles governing women’s contribution and participation in all spheres of life. Concrete examples of how women actually participated and contributed to the progress and development of education generally can also be found in the early history of Islamic civilization. Muslim women in early Islam and up to the contemporary period play numerous roles in various different fields. They have religious scholarship and made outstanding personal devotion in life. This paper is therefore an attempt to </w:t>
      </w:r>
      <w:r w:rsidRPr="00743BB2">
        <w:rPr>
          <w:rFonts w:ascii="Georgia" w:hAnsi="Georgia"/>
          <w:i/>
          <w:iCs/>
        </w:rPr>
        <w:t xml:space="preserve">examine and </w:t>
      </w:r>
      <w:r w:rsidRPr="00743BB2">
        <w:rPr>
          <w:rFonts w:ascii="Georgia" w:hAnsi="Georgia" w:cs="ZJansonText-Roman"/>
          <w:i/>
          <w:iCs/>
        </w:rPr>
        <w:t xml:space="preserve">trace </w:t>
      </w:r>
      <w:r w:rsidRPr="00743BB2">
        <w:rPr>
          <w:rFonts w:ascii="Georgia" w:hAnsi="Georgia"/>
          <w:i/>
          <w:iCs/>
        </w:rPr>
        <w:t>the historical backgrounds, evolution emergence and development of women Islamic education</w:t>
      </w:r>
      <w:r w:rsidRPr="00743BB2">
        <w:rPr>
          <w:rFonts w:ascii="Georgia" w:hAnsi="Georgia"/>
          <w:i/>
          <w:iCs/>
          <w:kern w:val="36"/>
        </w:rPr>
        <w:t xml:space="preserve"> in Northern Nigeria. The paper will also consider the development and challenges so far achieved in the 21</w:t>
      </w:r>
      <w:r w:rsidRPr="00743BB2">
        <w:rPr>
          <w:rFonts w:ascii="Georgia" w:hAnsi="Georgia"/>
          <w:i/>
          <w:iCs/>
          <w:kern w:val="36"/>
          <w:vertAlign w:val="superscript"/>
        </w:rPr>
        <w:t>st</w:t>
      </w:r>
      <w:r w:rsidRPr="00743BB2">
        <w:rPr>
          <w:rFonts w:ascii="Georgia" w:hAnsi="Georgia"/>
          <w:i/>
          <w:iCs/>
          <w:kern w:val="36"/>
        </w:rPr>
        <w:t xml:space="preserve"> century and present a brief review</w:t>
      </w:r>
      <w:r w:rsidRPr="00743BB2">
        <w:rPr>
          <w:rFonts w:ascii="Georgia" w:hAnsi="Georgia"/>
          <w:i/>
          <w:iCs/>
        </w:rPr>
        <w:t xml:space="preserve"> of the content, processes and methodology adopted in disseminating Islamic knowledge to the women folk. It will finally offer some suggestions and recommendations with regards to its findings on how to sustain and improve on these developments which brings a kind of socio-cultural reform in almost all the Northern states of Nigeria. </w:t>
      </w:r>
    </w:p>
    <w:p w:rsidR="00616B06" w:rsidRDefault="00616B06" w:rsidP="00616B06">
      <w:pPr>
        <w:jc w:val="center"/>
        <w:rPr>
          <w:rFonts w:ascii="Tahoma" w:hAnsi="Tahoma" w:cs="Tahoma"/>
          <w:b/>
          <w:sz w:val="28"/>
        </w:rPr>
      </w:pPr>
    </w:p>
    <w:p w:rsidR="00616B06" w:rsidRDefault="00616B06" w:rsidP="00616B06">
      <w:pPr>
        <w:jc w:val="center"/>
        <w:rPr>
          <w:rFonts w:ascii="Tahoma" w:hAnsi="Tahoma" w:cs="Tahoma"/>
          <w:b/>
          <w:sz w:val="28"/>
        </w:rPr>
      </w:pPr>
    </w:p>
    <w:p w:rsidR="00616B06" w:rsidRDefault="00616B06" w:rsidP="00616B06">
      <w:pPr>
        <w:jc w:val="center"/>
        <w:rPr>
          <w:rFonts w:ascii="Tahoma" w:hAnsi="Tahoma" w:cs="Tahoma"/>
          <w:b/>
          <w:sz w:val="28"/>
        </w:rPr>
      </w:pPr>
    </w:p>
    <w:p w:rsidR="00616B06" w:rsidRDefault="00616B06" w:rsidP="00616B06">
      <w:pPr>
        <w:jc w:val="center"/>
        <w:rPr>
          <w:rFonts w:ascii="Tahoma" w:hAnsi="Tahoma" w:cs="Tahoma"/>
          <w:b/>
          <w:sz w:val="28"/>
        </w:rPr>
      </w:pPr>
    </w:p>
    <w:p w:rsidR="00616B06" w:rsidRDefault="00616B06" w:rsidP="00616B06">
      <w:pPr>
        <w:jc w:val="center"/>
        <w:rPr>
          <w:rFonts w:ascii="Tahoma" w:hAnsi="Tahoma" w:cs="Tahoma"/>
          <w:b/>
          <w:sz w:val="28"/>
        </w:rPr>
      </w:pPr>
    </w:p>
    <w:p w:rsidR="00616B06" w:rsidRDefault="00616B06" w:rsidP="00616B06">
      <w:pPr>
        <w:jc w:val="center"/>
        <w:rPr>
          <w:rFonts w:ascii="Tahoma" w:hAnsi="Tahoma" w:cs="Tahoma"/>
          <w:b/>
          <w:sz w:val="28"/>
        </w:rPr>
      </w:pPr>
    </w:p>
    <w:p w:rsidR="00616B06" w:rsidRDefault="00616B06" w:rsidP="00616B06">
      <w:pPr>
        <w:jc w:val="center"/>
        <w:rPr>
          <w:rFonts w:ascii="Tahoma" w:hAnsi="Tahoma" w:cs="Tahoma"/>
          <w:b/>
          <w:sz w:val="28"/>
        </w:rPr>
      </w:pPr>
    </w:p>
    <w:p w:rsidR="00616B06" w:rsidRDefault="00616B06" w:rsidP="00616B06">
      <w:pPr>
        <w:jc w:val="center"/>
        <w:rPr>
          <w:rFonts w:ascii="Tahoma" w:hAnsi="Tahoma" w:cs="Tahoma"/>
          <w:b/>
          <w:sz w:val="28"/>
        </w:rPr>
      </w:pPr>
    </w:p>
    <w:p w:rsidR="00616B06" w:rsidRDefault="00616B06" w:rsidP="00616B06">
      <w:pPr>
        <w:jc w:val="center"/>
        <w:rPr>
          <w:rFonts w:ascii="Tahoma" w:hAnsi="Tahoma" w:cs="Tahoma"/>
          <w:b/>
          <w:sz w:val="28"/>
        </w:rPr>
      </w:pPr>
    </w:p>
    <w:p w:rsidR="00616B06" w:rsidRDefault="00616B06" w:rsidP="00616B06">
      <w:pPr>
        <w:jc w:val="center"/>
        <w:rPr>
          <w:rFonts w:ascii="Tahoma" w:hAnsi="Tahoma" w:cs="Tahoma"/>
          <w:b/>
          <w:sz w:val="28"/>
        </w:rPr>
      </w:pPr>
    </w:p>
    <w:p w:rsidR="00616B06" w:rsidRDefault="00616B06" w:rsidP="00616B06">
      <w:pPr>
        <w:jc w:val="center"/>
        <w:rPr>
          <w:rFonts w:ascii="Tahoma" w:hAnsi="Tahoma" w:cs="Tahoma"/>
          <w:b/>
          <w:sz w:val="28"/>
        </w:rPr>
      </w:pPr>
    </w:p>
    <w:p w:rsidR="00616B06" w:rsidRDefault="00616B06" w:rsidP="00616B06">
      <w:pPr>
        <w:jc w:val="center"/>
        <w:rPr>
          <w:rFonts w:ascii="Tahoma" w:hAnsi="Tahoma" w:cs="Tahoma"/>
          <w:b/>
          <w:sz w:val="28"/>
        </w:rPr>
      </w:pPr>
    </w:p>
    <w:p w:rsidR="00616B06" w:rsidRPr="00F4685F" w:rsidRDefault="00616B06" w:rsidP="00616B06">
      <w:pPr>
        <w:ind w:left="-630"/>
        <w:jc w:val="both"/>
        <w:rPr>
          <w:rFonts w:ascii="Georgia" w:hAnsi="Georgia" w:cs="Tahoma"/>
          <w:b/>
        </w:rPr>
      </w:pPr>
      <w:r w:rsidRPr="00F4685F">
        <w:rPr>
          <w:rFonts w:ascii="Georgia" w:hAnsi="Georgia" w:cs="Tahoma"/>
          <w:b/>
        </w:rPr>
        <w:t>Introduction</w:t>
      </w:r>
    </w:p>
    <w:p w:rsidR="00616B06" w:rsidRDefault="00616B06" w:rsidP="00616B06">
      <w:pPr>
        <w:ind w:left="-630"/>
        <w:jc w:val="both"/>
        <w:rPr>
          <w:rFonts w:ascii="Georgia" w:hAnsi="Georgia" w:cs="Tahoma"/>
        </w:rPr>
      </w:pPr>
      <w:r w:rsidRPr="00F70846">
        <w:rPr>
          <w:rFonts w:ascii="Georgia" w:hAnsi="Georgia" w:cs="Tahoma"/>
        </w:rPr>
        <w:lastRenderedPageBreak/>
        <w:t>Islam considers woman as half origin of mankind from whom all human beings emanated. In other words, the human fol</w:t>
      </w:r>
      <w:r>
        <w:rPr>
          <w:rFonts w:ascii="Georgia" w:hAnsi="Georgia" w:cs="Tahoma"/>
        </w:rPr>
        <w:t xml:space="preserve">k originated from Adam and Eve; </w:t>
      </w:r>
    </w:p>
    <w:p w:rsidR="00616B06" w:rsidRPr="00F70846" w:rsidRDefault="00616B06" w:rsidP="00616B06">
      <w:pPr>
        <w:bidi/>
        <w:ind w:left="-450" w:right="-720"/>
        <w:jc w:val="center"/>
        <w:rPr>
          <w:rFonts w:ascii="Georgia" w:hAnsi="Georgia" w:cs="Tahoma"/>
          <w:sz w:val="32"/>
          <w:szCs w:val="32"/>
        </w:rPr>
      </w:pPr>
      <w:r w:rsidRPr="00F70846">
        <w:rPr>
          <w:rFonts w:ascii="Traditional Arabic" w:eastAsiaTheme="minorHAnsi" w:hAnsi="Traditional Arabic" w:cs="Traditional Arabic"/>
          <w:color w:val="000000"/>
          <w:sz w:val="32"/>
          <w:szCs w:val="32"/>
          <w:rtl/>
        </w:rPr>
        <w:t>يَا أَيُّهَا النَّاسُ إِنَّا خَلَقْنَاكُمْ مِنْ ذَكَرٍ وَأُنْثَى وَجَعَلْنَاكُمْ شُعُوبًا وَقَبَائِلَ لِتَعَارَفُوا إِنَّ أَكْرَمَكُمْ عِنْدَ اللَّهِ أَتْقَاكُمْ إِنَّ اللَّهَ عَلِيمٌ خَبِير</w:t>
      </w:r>
    </w:p>
    <w:p w:rsidR="00616B06" w:rsidRPr="00F70846" w:rsidRDefault="00616B06" w:rsidP="00616B06">
      <w:pPr>
        <w:ind w:left="-630"/>
        <w:jc w:val="center"/>
        <w:rPr>
          <w:rFonts w:ascii="Georgia" w:hAnsi="Georgia" w:cs="Tahoma"/>
          <w:i/>
          <w:color w:val="7030A0"/>
        </w:rPr>
      </w:pPr>
      <w:r w:rsidRPr="00F70846">
        <w:rPr>
          <w:rFonts w:ascii="Georgia" w:hAnsi="Georgia" w:cs="Tahoma"/>
          <w:color w:val="7030A0"/>
        </w:rPr>
        <w:t>{</w:t>
      </w:r>
      <w:r w:rsidRPr="00F70846">
        <w:rPr>
          <w:rFonts w:ascii="Georgia" w:hAnsi="Georgia" w:cs="Tahoma"/>
          <w:i/>
          <w:color w:val="7030A0"/>
        </w:rPr>
        <w:t>O mankind! We have created you from a male and a female, and made you into nations and tribes that you may know one another. Verily, most honourbale of you with Allah is</w:t>
      </w:r>
      <w:r>
        <w:rPr>
          <w:rFonts w:ascii="Georgia" w:hAnsi="Georgia" w:cs="Tahoma"/>
          <w:i/>
          <w:color w:val="7030A0"/>
        </w:rPr>
        <w:t xml:space="preserve"> that believer who has at-taqwa</w:t>
      </w:r>
      <w:r w:rsidRPr="00F70846">
        <w:rPr>
          <w:rFonts w:ascii="Georgia" w:hAnsi="Georgia" w:cs="Tahoma"/>
          <w:i/>
          <w:color w:val="7030A0"/>
        </w:rPr>
        <w:t>.</w:t>
      </w:r>
      <w:r>
        <w:rPr>
          <w:rStyle w:val="FootnoteReference"/>
          <w:rFonts w:ascii="Georgia" w:hAnsi="Georgia" w:cs="Tahoma"/>
          <w:i/>
          <w:color w:val="7030A0"/>
        </w:rPr>
        <w:footnoteReference w:id="2"/>
      </w:r>
    </w:p>
    <w:p w:rsidR="00616B06" w:rsidRDefault="00616B06" w:rsidP="00616B06">
      <w:pPr>
        <w:ind w:left="-630"/>
        <w:jc w:val="both"/>
        <w:rPr>
          <w:rFonts w:ascii="Georgia" w:hAnsi="Georgia"/>
        </w:rPr>
      </w:pPr>
      <w:r w:rsidRPr="00F70846">
        <w:rPr>
          <w:rFonts w:ascii="Georgia" w:hAnsi="Georgia" w:cs="Tahoma"/>
          <w:iCs/>
        </w:rPr>
        <w:t>Similarly,</w:t>
      </w:r>
      <w:r>
        <w:rPr>
          <w:rFonts w:ascii="Georgia" w:hAnsi="Georgia" w:cs="Tahoma"/>
        </w:rPr>
        <w:t>t</w:t>
      </w:r>
      <w:r w:rsidRPr="00F70846">
        <w:rPr>
          <w:rFonts w:ascii="Georgia" w:hAnsi="Georgia" w:cs="Tahoma"/>
        </w:rPr>
        <w:t xml:space="preserve">he Prophet </w:t>
      </w:r>
      <w:r>
        <w:rPr>
          <w:color w:val="FF0000"/>
        </w:rPr>
        <w:sym w:font="AGA Arabesque" w:char="0072"/>
      </w:r>
      <w:r w:rsidRPr="00F70846">
        <w:rPr>
          <w:rFonts w:ascii="Georgia" w:hAnsi="Georgia" w:cs="Tahoma"/>
        </w:rPr>
        <w:t xml:space="preserve"> stated that, </w:t>
      </w:r>
      <w:r>
        <w:rPr>
          <w:rFonts w:ascii="Georgia" w:hAnsi="Georgia" w:cs="Tahoma"/>
        </w:rPr>
        <w:t>[</w:t>
      </w:r>
      <w:r w:rsidRPr="00F4685F">
        <w:rPr>
          <w:rFonts w:ascii="Traditional Arabic" w:eastAsiaTheme="minorHAnsi" w:hAnsi="Traditional Arabic" w:cs="Traditional Arabic"/>
          <w:color w:val="FF0000"/>
          <w:sz w:val="32"/>
          <w:szCs w:val="32"/>
          <w:rtl/>
        </w:rPr>
        <w:t>إِنَّ النِّسَاءَ شَقَائِقُ الرِّجَال</w:t>
      </w:r>
      <w:r>
        <w:rPr>
          <w:rFonts w:ascii="Georgia" w:hAnsi="Georgia" w:cs="Tahoma"/>
        </w:rPr>
        <w:t>] - ‘</w:t>
      </w:r>
      <w:r w:rsidRPr="00F70846">
        <w:rPr>
          <w:rFonts w:ascii="Georgia" w:hAnsi="Georgia" w:cs="Tahoma"/>
          <w:i/>
        </w:rPr>
        <w:t>women are but the twin halves of men</w:t>
      </w:r>
      <w:r>
        <w:rPr>
          <w:rFonts w:ascii="Georgia" w:hAnsi="Georgia" w:cs="Tahoma"/>
        </w:rPr>
        <w:t>.</w:t>
      </w:r>
      <w:r>
        <w:rPr>
          <w:rStyle w:val="FootnoteReference"/>
          <w:rFonts w:ascii="Georgia" w:hAnsi="Georgia" w:cs="Tahoma"/>
        </w:rPr>
        <w:footnoteReference w:id="3"/>
      </w:r>
      <w:r w:rsidRPr="00F70846">
        <w:rPr>
          <w:rFonts w:ascii="Georgia" w:hAnsi="Georgia" w:cs="Tahoma"/>
        </w:rPr>
        <w:t xml:space="preserve"> Therefore, women in Islam occupyhighly significantpositionbecause several mentions were made of women by the Glorious Qur’an.For example, Prophet Adam AS wasgenerally mentioned alongside with his wife </w:t>
      </w:r>
      <w:r w:rsidRPr="00F70846">
        <w:rPr>
          <w:rFonts w:ascii="Georgia" w:hAnsi="Georgia" w:cs="Tahoma"/>
          <w:color w:val="FF0000"/>
        </w:rPr>
        <w:t>Hauwa</w:t>
      </w:r>
      <w:r w:rsidRPr="00F70846">
        <w:rPr>
          <w:rFonts w:ascii="Georgia" w:hAnsi="Georgia" w:cs="Tahoma"/>
        </w:rPr>
        <w:t>. The story of Maryam AS and her son Jesus was also available in many places of the Qur’an for contempt and reflect. Similarly, there was the mention of the wives of many Prophets including Nuh AS, Lut AS, Ibrahim AS, Musa AS, etc. To further buttress the position of women in Islam, some chapters were named after women viz Suratun Nisa’ (</w:t>
      </w:r>
      <w:r>
        <w:rPr>
          <w:rFonts w:ascii="Georgia" w:hAnsi="Georgia" w:cs="Tahoma"/>
        </w:rPr>
        <w:t>al Qur’an: 04</w:t>
      </w:r>
      <w:r w:rsidRPr="00F70846">
        <w:rPr>
          <w:rFonts w:ascii="Georgia" w:hAnsi="Georgia" w:cs="Tahoma"/>
        </w:rPr>
        <w:t>) and Suratu Maryam (</w:t>
      </w:r>
      <w:r>
        <w:rPr>
          <w:rFonts w:ascii="Georgia" w:hAnsi="Georgia" w:cs="Tahoma"/>
        </w:rPr>
        <w:t>al Qur’an: 19</w:t>
      </w:r>
      <w:r w:rsidRPr="00F70846">
        <w:rPr>
          <w:rFonts w:ascii="Georgia" w:hAnsi="Georgia" w:cs="Tahoma"/>
        </w:rPr>
        <w:t xml:space="preserve">) of the glorious Qur’an. </w:t>
      </w:r>
    </w:p>
    <w:p w:rsidR="00616B06" w:rsidRPr="00185C48" w:rsidRDefault="00616B06" w:rsidP="00616B06">
      <w:pPr>
        <w:ind w:left="-630"/>
        <w:jc w:val="both"/>
        <w:rPr>
          <w:rFonts w:ascii="Georgia" w:hAnsi="Georgia"/>
        </w:rPr>
      </w:pPr>
      <w:r>
        <w:rPr>
          <w:rFonts w:ascii="Georgia" w:hAnsi="Georgia" w:cs="Tahoma"/>
        </w:rPr>
        <w:t xml:space="preserve">   Furthermore</w:t>
      </w:r>
      <w:r w:rsidRPr="00185C48">
        <w:rPr>
          <w:rFonts w:ascii="Georgia" w:hAnsi="Georgia" w:cs="Tahoma"/>
        </w:rPr>
        <w:t>, Islam considers the important roles of women in the development of human society and assigned to them certain social responsibilities which are exclusively theirs. They have rights and responsibilities equal to that of men except in some exceptional cases where their nature gives them relief from some social functions</w:t>
      </w:r>
      <w:r w:rsidRPr="00185C48">
        <w:rPr>
          <w:rStyle w:val="EndnoteReference"/>
          <w:rFonts w:ascii="Georgia" w:hAnsi="Georgia" w:cs="Tahoma"/>
        </w:rPr>
        <w:endnoteReference w:id="2"/>
      </w:r>
      <w:r w:rsidRPr="00185C48">
        <w:rPr>
          <w:rFonts w:ascii="Georgia" w:hAnsi="Georgia" w:cs="Tahoma"/>
        </w:rPr>
        <w:t>.In Islam, women like their men counterparts, have right to education because education h</w:t>
      </w:r>
      <w:r w:rsidRPr="00185C48">
        <w:rPr>
          <w:rFonts w:ascii="Georgia" w:hAnsi="Georgia"/>
        </w:rPr>
        <w:t xml:space="preserve">elps in molding characters, develops critical thinking and helps and trains the human soul. It was made compulsoryupon every individual. </w:t>
      </w:r>
    </w:p>
    <w:p w:rsidR="00616B06" w:rsidRDefault="00616B06" w:rsidP="00616B06">
      <w:pPr>
        <w:ind w:left="-630"/>
        <w:jc w:val="both"/>
        <w:rPr>
          <w:rFonts w:ascii="Georgia" w:hAnsi="Georgia" w:cs="Tahoma"/>
        </w:rPr>
      </w:pPr>
      <w:r w:rsidRPr="00185C48">
        <w:rPr>
          <w:rFonts w:ascii="Georgia" w:hAnsi="Georgia" w:cs="Tahoma"/>
        </w:rPr>
        <w:t>The Emphasis Islam laid on education is not restricted to male or female. According to Khan, women’s role in building better humanities is more direct, more personal and immediate than that of men.</w:t>
      </w:r>
      <w:r>
        <w:rPr>
          <w:rStyle w:val="FootnoteReference"/>
          <w:rFonts w:ascii="Georgia" w:hAnsi="Georgia" w:cs="Tahoma"/>
        </w:rPr>
        <w:footnoteReference w:id="4"/>
      </w:r>
      <w:r w:rsidRPr="00185C48">
        <w:rPr>
          <w:rFonts w:ascii="Georgia" w:hAnsi="Georgia" w:cs="Tahoma"/>
        </w:rPr>
        <w:t>All the Islamic discussions on education are applicable to male and female as part of their religious responsibilities. This is because the femalesare required to observe all good deeds that are prescribed for male to enable them attain the eternal bliss in the hereafter. Allah SWT says in the noble Qur’an;</w:t>
      </w:r>
    </w:p>
    <w:p w:rsidR="00616B06" w:rsidRPr="00A175F9" w:rsidRDefault="00616B06" w:rsidP="00616B06">
      <w:pPr>
        <w:ind w:left="-810" w:right="-450"/>
        <w:jc w:val="center"/>
        <w:rPr>
          <w:rFonts w:ascii="Georgia" w:hAnsi="Georgia"/>
          <w:color w:val="FF0000"/>
          <w:sz w:val="36"/>
          <w:szCs w:val="36"/>
        </w:rPr>
      </w:pPr>
      <w:r w:rsidRPr="00A175F9">
        <w:rPr>
          <w:rFonts w:ascii="Traditional Arabic" w:eastAsiaTheme="minorHAnsi" w:hAnsi="Traditional Arabic" w:cs="Traditional Arabic"/>
          <w:color w:val="FF0000"/>
          <w:sz w:val="36"/>
          <w:szCs w:val="36"/>
          <w:rtl/>
        </w:rPr>
        <w:t>مَنْ عَمِلَ صَالِحًا مِنْ ذَكَرٍ أَوْ أُنْثَى وَهُوَ مُؤْمِنٌ فَلَنُحْيِيَنَّهُ حَيَاةً طَيِّبَةً وَلَنَجْزِيَنَّهُمْ أَجْرَهُمْ بِأَحْسَنِ مَا كَانُوا يَعْمَلُون</w:t>
      </w:r>
    </w:p>
    <w:p w:rsidR="00616B06" w:rsidRPr="00185C48" w:rsidRDefault="00616B06" w:rsidP="00616B06">
      <w:pPr>
        <w:ind w:left="-360" w:right="450"/>
        <w:jc w:val="center"/>
        <w:rPr>
          <w:rFonts w:ascii="Georgia" w:hAnsi="Georgia" w:cs="Tahoma"/>
          <w:i/>
          <w:color w:val="7030A0"/>
        </w:rPr>
      </w:pPr>
      <w:r w:rsidRPr="00185C48">
        <w:rPr>
          <w:rFonts w:ascii="Georgia" w:hAnsi="Georgia" w:cs="Tahoma"/>
          <w:i/>
          <w:color w:val="7030A0"/>
        </w:rPr>
        <w:t>Whoever does righteousness, whether male or female, while he is a believer – We will surely cause him to live a good life, and we will surely give them their reward (in the Hereafter) according to the best of what they used to do.</w:t>
      </w:r>
      <w:r>
        <w:rPr>
          <w:rStyle w:val="FootnoteReference"/>
          <w:rFonts w:ascii="Georgia" w:hAnsi="Georgia" w:cs="Tahoma"/>
          <w:i/>
          <w:color w:val="7030A0"/>
        </w:rPr>
        <w:footnoteReference w:id="5"/>
      </w:r>
    </w:p>
    <w:p w:rsidR="00616B06" w:rsidRPr="00600EFF" w:rsidRDefault="00616B06" w:rsidP="00616B06">
      <w:pPr>
        <w:pStyle w:val="ListParagraph"/>
        <w:tabs>
          <w:tab w:val="left" w:pos="630"/>
        </w:tabs>
        <w:ind w:left="-630" w:right="-990"/>
        <w:jc w:val="both"/>
        <w:rPr>
          <w:color w:val="FF0000"/>
          <w:sz w:val="16"/>
          <w:szCs w:val="16"/>
        </w:rPr>
      </w:pPr>
    </w:p>
    <w:p w:rsidR="00616B06" w:rsidRPr="00F4685F" w:rsidRDefault="00616B06" w:rsidP="00616B06">
      <w:pPr>
        <w:ind w:left="-630"/>
        <w:jc w:val="both"/>
        <w:rPr>
          <w:rFonts w:ascii="Georgia" w:hAnsi="Georgia"/>
        </w:rPr>
      </w:pPr>
      <w:r w:rsidRPr="00F4685F">
        <w:rPr>
          <w:rFonts w:ascii="Georgia" w:hAnsi="Georgia"/>
        </w:rPr>
        <w:t xml:space="preserve">Thus, all other instructions to seach for knowledge either in the Qur’an or Hadith were meant for both male and female. For example, the first  revelation  received  by the Prophet </w:t>
      </w:r>
      <w:r>
        <w:rPr>
          <w:color w:val="FF0000"/>
        </w:rPr>
        <w:sym w:font="AGA Arabesque" w:char="0072"/>
      </w:r>
      <w:r w:rsidRPr="00F4685F">
        <w:rPr>
          <w:rFonts w:ascii="Georgia" w:hAnsi="Georgia"/>
        </w:rPr>
        <w:t xml:space="preserve"> was a command  for him and his ummah to seek for  knowledge.</w:t>
      </w:r>
      <w:r w:rsidRPr="00F4685F">
        <w:rPr>
          <w:rStyle w:val="FootnoteReference"/>
          <w:rFonts w:ascii="Georgia" w:hAnsi="Georgia"/>
        </w:rPr>
        <w:footnoteReference w:id="6"/>
      </w:r>
      <w:r w:rsidRPr="00F4685F">
        <w:rPr>
          <w:rFonts w:ascii="Georgia" w:hAnsi="Georgia"/>
        </w:rPr>
        <w:t xml:space="preserve">Heinstructed his wives and daughter Fatima (RA) to acquire  education. They (RA) later became  teacher of knowles and source of reference in various facets of knowledge after the death of the Prophet. </w:t>
      </w:r>
    </w:p>
    <w:p w:rsidR="00616B06" w:rsidRPr="00F4685F" w:rsidRDefault="00616B06" w:rsidP="00616B06">
      <w:pPr>
        <w:ind w:left="-630"/>
        <w:jc w:val="both"/>
        <w:rPr>
          <w:rFonts w:ascii="Georgia" w:hAnsi="Georgia"/>
        </w:rPr>
      </w:pPr>
      <w:r w:rsidRPr="00F4685F">
        <w:rPr>
          <w:rFonts w:ascii="Georgia" w:hAnsi="Georgia"/>
        </w:rPr>
        <w:t xml:space="preserve">The Mother of the Believers `A'ishah (RA) for example, was a figure in this respect. She was the primary source of </w:t>
      </w:r>
      <w:r w:rsidRPr="00F4685F">
        <w:rPr>
          <w:rFonts w:ascii="Georgia" w:hAnsi="Georgia"/>
          <w:i/>
          <w:iCs/>
        </w:rPr>
        <w:t>Ahadith</w:t>
      </w:r>
      <w:r w:rsidRPr="00F4685F">
        <w:rPr>
          <w:rFonts w:ascii="Georgia" w:hAnsi="Georgia"/>
        </w:rPr>
        <w:t xml:space="preserve"> and knowledge of the </w:t>
      </w:r>
      <w:r w:rsidRPr="00F4685F">
        <w:rPr>
          <w:rFonts w:ascii="Georgia" w:hAnsi="Georgia"/>
          <w:i/>
          <w:iCs/>
        </w:rPr>
        <w:t>Sunnah</w:t>
      </w:r>
      <w:r w:rsidRPr="00F4685F">
        <w:rPr>
          <w:rFonts w:ascii="Georgia" w:hAnsi="Georgia"/>
        </w:rPr>
        <w:t xml:space="preserve">, and was the first </w:t>
      </w:r>
      <w:r w:rsidRPr="00F4685F">
        <w:rPr>
          <w:rFonts w:ascii="Georgia" w:hAnsi="Georgia"/>
          <w:i/>
          <w:iCs/>
        </w:rPr>
        <w:t>Faqihah</w:t>
      </w:r>
      <w:r w:rsidRPr="00F4685F">
        <w:rPr>
          <w:rFonts w:ascii="Georgia" w:hAnsi="Georgia"/>
        </w:rPr>
        <w:t xml:space="preserve"> in Islam when she was still a young woman. She was </w:t>
      </w:r>
      <w:r w:rsidRPr="00F4685F">
        <w:rPr>
          <w:rFonts w:ascii="Georgia" w:hAnsi="Georgia" w:cs="Tahoma"/>
        </w:rPr>
        <w:t>described by Ibn Abdulbarr thus, “the peerless of her generation in three branches of knowledge; science of Jurisprudence, medicine and the science of poetry”.</w:t>
      </w:r>
      <w:r w:rsidRPr="00F4685F">
        <w:rPr>
          <w:rStyle w:val="EndnoteReference"/>
          <w:rFonts w:ascii="Georgia" w:hAnsi="Georgia" w:cs="Tahoma"/>
        </w:rPr>
        <w:endnoteReference w:id="3"/>
      </w:r>
      <w:r w:rsidRPr="00F4685F">
        <w:rPr>
          <w:rFonts w:ascii="Georgia" w:hAnsi="Georgia" w:cs="Tahoma"/>
        </w:rPr>
        <w:t xml:space="preserve">  According to </w:t>
      </w:r>
      <w:r w:rsidRPr="00F4685F">
        <w:rPr>
          <w:rFonts w:ascii="Georgia" w:hAnsi="Georgia"/>
        </w:rPr>
        <w:t>Imam az Zuhri,</w:t>
      </w:r>
      <w:r w:rsidRPr="00F4685F">
        <w:rPr>
          <w:rFonts w:ascii="Georgia" w:hAnsi="Georgia"/>
          <w:i/>
          <w:iCs/>
        </w:rPr>
        <w:t xml:space="preserve">"If the knowledge of `A'ishah (RA) </w:t>
      </w:r>
      <w:r w:rsidRPr="00F4685F">
        <w:rPr>
          <w:rFonts w:ascii="Georgia" w:hAnsi="Georgia"/>
          <w:i/>
          <w:iCs/>
        </w:rPr>
        <w:lastRenderedPageBreak/>
        <w:t xml:space="preserve">were to be gathered up and compared to the knowledge of all the other wives of the Prophet </w:t>
      </w:r>
      <w:r>
        <w:rPr>
          <w:color w:val="FF0000"/>
        </w:rPr>
        <w:sym w:font="AGA Arabesque" w:char="0072"/>
      </w:r>
      <w:r w:rsidRPr="00F4685F">
        <w:rPr>
          <w:rFonts w:ascii="Georgia" w:hAnsi="Georgia"/>
          <w:i/>
          <w:iCs/>
        </w:rPr>
        <w:t xml:space="preserve"> and all other women, `A'ishah's knowledge would be greater.”</w:t>
      </w:r>
    </w:p>
    <w:p w:rsidR="00616B06" w:rsidRDefault="00616B06" w:rsidP="00616B06">
      <w:pPr>
        <w:ind w:left="-630"/>
        <w:jc w:val="both"/>
        <w:rPr>
          <w:rFonts w:ascii="Georgia" w:hAnsi="Georgia"/>
        </w:rPr>
      </w:pPr>
      <w:r w:rsidRPr="00F4685F">
        <w:rPr>
          <w:rFonts w:ascii="Georgia" w:hAnsi="Georgia" w:cs="Tahoma"/>
        </w:rPr>
        <w:t xml:space="preserve">A’ishah was ranked third of the six companions that have the highest number of Hadith narration from the Prophet </w:t>
      </w:r>
      <w:r>
        <w:rPr>
          <w:color w:val="FF0000"/>
        </w:rPr>
        <w:sym w:font="AGA Arabesque" w:char="0072"/>
      </w:r>
      <w:r w:rsidRPr="00F4685F">
        <w:rPr>
          <w:rFonts w:ascii="Georgia" w:hAnsi="Georgia" w:cs="Tahoma"/>
        </w:rPr>
        <w:t xml:space="preserve"> and she was among the companions that had the highest number of students among the </w:t>
      </w:r>
      <w:r w:rsidRPr="00F4685F">
        <w:rPr>
          <w:rFonts w:ascii="Georgia" w:hAnsi="Georgia" w:cs="Tahoma"/>
          <w:i/>
        </w:rPr>
        <w:t>tabi’un</w:t>
      </w:r>
      <w:r w:rsidRPr="00F4685F">
        <w:rPr>
          <w:rFonts w:ascii="Georgia" w:hAnsi="Georgia" w:cs="Tahoma"/>
        </w:rPr>
        <w:t>. This merit was not peculiar to Aisha</w:t>
      </w:r>
      <w:r>
        <w:rPr>
          <w:rFonts w:ascii="Georgia" w:hAnsi="Georgia" w:cs="Tahoma"/>
        </w:rPr>
        <w:t xml:space="preserve">hRA </w:t>
      </w:r>
      <w:r w:rsidRPr="00F4685F">
        <w:rPr>
          <w:rFonts w:ascii="Georgia" w:hAnsi="Georgia" w:cs="Tahoma"/>
        </w:rPr>
        <w:t>alone, there were many women s</w:t>
      </w:r>
      <w:r>
        <w:rPr>
          <w:rFonts w:ascii="Georgia" w:hAnsi="Georgia" w:cs="Tahoma"/>
        </w:rPr>
        <w:t>imilar to her among the female C</w:t>
      </w:r>
      <w:r w:rsidRPr="00F4685F">
        <w:rPr>
          <w:rFonts w:ascii="Georgia" w:hAnsi="Georgia" w:cs="Tahoma"/>
        </w:rPr>
        <w:t>ompanions, such as Ma</w:t>
      </w:r>
      <w:r>
        <w:rPr>
          <w:rFonts w:ascii="Georgia" w:hAnsi="Georgia" w:cs="Tahoma"/>
        </w:rPr>
        <w:t xml:space="preserve">imunah Bint al </w:t>
      </w:r>
      <w:r w:rsidRPr="00F4685F">
        <w:rPr>
          <w:rFonts w:ascii="Georgia" w:hAnsi="Georgia" w:cs="Tahoma"/>
        </w:rPr>
        <w:t>Harith, al-Hilaliyyah, Asmā’. Bint Abi Bakr, Umm Sulaym, Hafsah Bint Umar</w:t>
      </w:r>
      <w:r>
        <w:rPr>
          <w:rFonts w:ascii="Georgia" w:hAnsi="Georgia" w:cs="Tahoma"/>
        </w:rPr>
        <w:t>, Rabi’ah bint Mu’awwad</w:t>
      </w:r>
      <w:r>
        <w:rPr>
          <w:rStyle w:val="FootnoteReference"/>
          <w:rFonts w:ascii="Georgia" w:hAnsi="Georgia" w:cs="Tahoma"/>
        </w:rPr>
        <w:footnoteReference w:id="7"/>
      </w:r>
      <w:r>
        <w:rPr>
          <w:rFonts w:ascii="Georgia" w:hAnsi="Georgia" w:cs="Tahoma"/>
        </w:rPr>
        <w:t>, ‘A’ishah bint Sa’ad bin Waqqas</w:t>
      </w:r>
      <w:r>
        <w:rPr>
          <w:rStyle w:val="FootnoteReference"/>
          <w:rFonts w:ascii="Georgia" w:hAnsi="Georgia" w:cs="Tahoma"/>
        </w:rPr>
        <w:footnoteReference w:id="8"/>
      </w:r>
      <w:r w:rsidRPr="00F4685F">
        <w:rPr>
          <w:rFonts w:ascii="Georgia" w:hAnsi="Georgia" w:cs="Tahoma"/>
        </w:rPr>
        <w:t xml:space="preserve"> and </w:t>
      </w:r>
      <w:r>
        <w:rPr>
          <w:rFonts w:ascii="Georgia" w:hAnsi="Georgia" w:cs="Tahoma"/>
        </w:rPr>
        <w:t xml:space="preserve">host of </w:t>
      </w:r>
      <w:r w:rsidRPr="00F4685F">
        <w:rPr>
          <w:rFonts w:ascii="Georgia" w:hAnsi="Georgia" w:cs="Tahoma"/>
        </w:rPr>
        <w:t xml:space="preserve">others.  </w:t>
      </w:r>
    </w:p>
    <w:p w:rsidR="00616B06" w:rsidRDefault="00616B06" w:rsidP="00616B06">
      <w:pPr>
        <w:ind w:left="-630"/>
        <w:jc w:val="both"/>
        <w:rPr>
          <w:rFonts w:ascii="Georgia" w:hAnsi="Georgia"/>
        </w:rPr>
      </w:pPr>
      <w:r w:rsidRPr="00F4685F">
        <w:rPr>
          <w:rFonts w:ascii="Georgia" w:hAnsi="Georgia"/>
        </w:rPr>
        <w:t xml:space="preserve">How often did the greatest of the </w:t>
      </w:r>
      <w:r w:rsidRPr="00F4685F">
        <w:rPr>
          <w:rFonts w:ascii="Georgia" w:hAnsi="Georgia"/>
          <w:i/>
          <w:iCs/>
        </w:rPr>
        <w:t>Sahabah</w:t>
      </w:r>
      <w:r w:rsidRPr="00F4685F">
        <w:rPr>
          <w:rFonts w:ascii="Georgia" w:hAnsi="Georgia"/>
        </w:rPr>
        <w:t xml:space="preserve"> refer to Sayyidah ‘A’ishah RA, to hear the final word on matters of the fundamentals of Islam and precise meanings of the Qur'an</w:t>
      </w:r>
      <w:r w:rsidRPr="00F4685F">
        <w:rPr>
          <w:rFonts w:ascii="Georgia" w:hAnsi="Georgia"/>
          <w:rtl/>
        </w:rPr>
        <w:t>.</w:t>
      </w:r>
      <w:r w:rsidRPr="00F4685F">
        <w:rPr>
          <w:rFonts w:ascii="Georgia" w:hAnsi="Georgia"/>
        </w:rPr>
        <w:t xml:space="preserve"> Her knowledge and deep understanding were not restricted only to matters of religion; she was equally distinguished in poetry, literature, history, medicine, and other branches of knowledge that were known at that time. A </w:t>
      </w:r>
      <w:r w:rsidRPr="00F4685F">
        <w:rPr>
          <w:rFonts w:ascii="Georgia" w:hAnsi="Georgia"/>
          <w:i/>
          <w:iCs/>
        </w:rPr>
        <w:t>Faqih</w:t>
      </w:r>
      <w:r>
        <w:rPr>
          <w:rFonts w:ascii="Georgia" w:hAnsi="Georgia"/>
        </w:rPr>
        <w:t xml:space="preserve"> of the Muslims, `Urwah I</w:t>
      </w:r>
      <w:r w:rsidRPr="00F4685F">
        <w:rPr>
          <w:rFonts w:ascii="Georgia" w:hAnsi="Georgia"/>
        </w:rPr>
        <w:t xml:space="preserve">bn al-Zubayr, was quoted by his son Hisham as saying: "I have never seen anybody more knowledgeable in </w:t>
      </w:r>
      <w:r w:rsidRPr="00F4685F">
        <w:rPr>
          <w:rFonts w:ascii="Georgia" w:hAnsi="Georgia"/>
          <w:i/>
          <w:iCs/>
        </w:rPr>
        <w:t>fiqh</w:t>
      </w:r>
      <w:r w:rsidRPr="00F4685F">
        <w:rPr>
          <w:rFonts w:ascii="Georgia" w:hAnsi="Georgia"/>
        </w:rPr>
        <w:t xml:space="preserve"> or medicine or poetry than `A'ishah (Muslim).</w:t>
      </w:r>
    </w:p>
    <w:p w:rsidR="00616B06" w:rsidRPr="00F4685F" w:rsidRDefault="00616B06" w:rsidP="00616B06">
      <w:pPr>
        <w:ind w:left="-630"/>
        <w:jc w:val="both"/>
        <w:rPr>
          <w:rFonts w:ascii="Georgia" w:hAnsi="Georgia" w:cs="Tahoma"/>
        </w:rPr>
      </w:pPr>
      <w:r w:rsidRPr="00F4685F">
        <w:rPr>
          <w:rFonts w:ascii="Georgia" w:hAnsi="Georgia"/>
        </w:rPr>
        <w:t xml:space="preserve">Apart from </w:t>
      </w:r>
      <w:r w:rsidRPr="00F4685F">
        <w:rPr>
          <w:rFonts w:ascii="Georgia" w:hAnsi="Georgia"/>
          <w:rtl/>
        </w:rPr>
        <w:t>`</w:t>
      </w:r>
      <w:r>
        <w:rPr>
          <w:rFonts w:ascii="Georgia" w:hAnsi="Georgia"/>
        </w:rPr>
        <w:t>A'ishah RA</w:t>
      </w:r>
      <w:r w:rsidRPr="00F4685F">
        <w:rPr>
          <w:rFonts w:ascii="Georgia" w:hAnsi="Georgia"/>
        </w:rPr>
        <w:t xml:space="preserve">, famous women scholars were not something rare among Muslim women during the first three generation of Muslims. Their level of education reached a higher level. They often </w:t>
      </w:r>
      <w:r w:rsidRPr="00F4685F">
        <w:rPr>
          <w:rFonts w:ascii="Georgia" w:hAnsi="Georgia" w:cs="Tahoma"/>
        </w:rPr>
        <w:t xml:space="preserve">challengeg men when and wherever they made mistakes. For example, a woman challenged Umar Ibn al Kattab RA when he fixed a limited dowry (Sadaq). She supported her stand with a verse from Glorious Qur’an ‘…’ [Qur’an 4:20]. This made the Caliph to withdraw from his earlier stand. </w:t>
      </w:r>
    </w:p>
    <w:p w:rsidR="00616B06" w:rsidRDefault="00616B06" w:rsidP="00616B06">
      <w:pPr>
        <w:ind w:left="-630"/>
        <w:jc w:val="both"/>
        <w:rPr>
          <w:rFonts w:ascii="Georgia" w:hAnsi="Georgia"/>
        </w:rPr>
      </w:pPr>
      <w:r w:rsidRPr="00F4685F">
        <w:rPr>
          <w:rFonts w:ascii="Georgia" w:hAnsi="Georgia"/>
        </w:rPr>
        <w:t xml:space="preserve">It is also important to note that </w:t>
      </w:r>
      <w:r w:rsidRPr="00F4685F">
        <w:rPr>
          <w:rFonts w:ascii="Georgia" w:hAnsi="Georgia" w:cs="Tahoma"/>
        </w:rPr>
        <w:t xml:space="preserve">some renowned Muslim scholars have studied under women tutelage. These include Imams al-Shafi‘i, al-Bukhari, Ibn Khallikan and Abu Hayan. Hafiz Ibn Asakir, a renowned Hadith scholar, is said to have studied under the tutelage of more than eighty women. </w:t>
      </w:r>
      <w:r w:rsidRPr="00A175F9">
        <w:rPr>
          <w:rFonts w:ascii="Georgia" w:hAnsi="Georgia" w:cs="Tahoma"/>
        </w:rPr>
        <w:t>S</w:t>
      </w:r>
      <w:r w:rsidRPr="00A175F9">
        <w:rPr>
          <w:rFonts w:ascii="Georgia" w:hAnsi="Georgia"/>
        </w:rPr>
        <w:t xml:space="preserve">imilarly, many reports illustrate the confidence and maturity with which the early Muslim women posed questions to the Prophet </w:t>
      </w:r>
      <w:r>
        <w:rPr>
          <w:color w:val="FF0000"/>
        </w:rPr>
        <w:sym w:font="AGA Arabesque" w:char="0072"/>
      </w:r>
      <w:r w:rsidRPr="00A175F9">
        <w:rPr>
          <w:rFonts w:ascii="Georgia" w:hAnsi="Georgia"/>
        </w:rPr>
        <w:t xml:space="preserve">, seeking to understand their religion more fully. it was reported that the female Companions in Madina once </w:t>
      </w:r>
      <w:r w:rsidRPr="00A175F9">
        <w:rPr>
          <w:rFonts w:ascii="Georgia" w:hAnsi="Georgia" w:cs="Tahoma"/>
        </w:rPr>
        <w:t xml:space="preserve">converged and </w:t>
      </w:r>
      <w:r w:rsidRPr="00A175F9">
        <w:rPr>
          <w:rFonts w:ascii="Georgia" w:hAnsi="Georgia"/>
        </w:rPr>
        <w:t xml:space="preserve">requested the Prophet </w:t>
      </w:r>
      <w:r>
        <w:rPr>
          <w:color w:val="FF0000"/>
        </w:rPr>
        <w:sym w:font="AGA Arabesque" w:char="0072"/>
      </w:r>
      <w:r w:rsidRPr="00A175F9">
        <w:rPr>
          <w:rFonts w:ascii="Georgia" w:hAnsi="Georgia"/>
        </w:rPr>
        <w:t xml:space="preserve"> to </w:t>
      </w:r>
      <w:r w:rsidRPr="00A175F9">
        <w:rPr>
          <w:rFonts w:ascii="Georgia" w:hAnsi="Georgia" w:cs="Tahoma"/>
        </w:rPr>
        <w:t>assign them a day upon which they can come and learn about their religious obligations</w:t>
      </w:r>
      <w:r w:rsidRPr="00A175F9">
        <w:rPr>
          <w:rFonts w:ascii="Georgia" w:hAnsi="Georgia"/>
        </w:rPr>
        <w:t xml:space="preserve">. According to them, </w:t>
      </w:r>
      <w:r w:rsidRPr="00A175F9">
        <w:rPr>
          <w:rFonts w:ascii="Georgia" w:hAnsi="Georgia"/>
          <w:i/>
          <w:iCs/>
        </w:rPr>
        <w:t xml:space="preserve">men have already taken all the Prophet’s time and almost nothing was left for them. </w:t>
      </w:r>
      <w:r w:rsidRPr="00A175F9">
        <w:rPr>
          <w:rFonts w:ascii="Georgia" w:hAnsi="Georgia" w:cs="Tahoma"/>
        </w:rPr>
        <w:t>A day, time and place were then set aside</w:t>
      </w:r>
      <w:r w:rsidRPr="00A175F9">
        <w:rPr>
          <w:rFonts w:ascii="Georgia" w:hAnsi="Georgia"/>
        </w:rPr>
        <w:t xml:space="preserve"> for their  teaching  and  counseling and that marked the starting point of </w:t>
      </w:r>
      <w:r w:rsidRPr="00A175F9">
        <w:rPr>
          <w:rFonts w:ascii="Georgia" w:hAnsi="Georgia"/>
          <w:kern w:val="36"/>
        </w:rPr>
        <w:t>women education</w:t>
      </w:r>
      <w:r w:rsidRPr="00A175F9">
        <w:rPr>
          <w:rFonts w:ascii="Georgia" w:hAnsi="Georgia"/>
          <w:i/>
          <w:iCs/>
          <w:kern w:val="36"/>
        </w:rPr>
        <w:t xml:space="preserve">. </w:t>
      </w:r>
    </w:p>
    <w:p w:rsidR="00616B06" w:rsidRPr="00A175F9" w:rsidRDefault="00616B06" w:rsidP="00616B06">
      <w:pPr>
        <w:ind w:left="-630"/>
        <w:jc w:val="both"/>
        <w:rPr>
          <w:rFonts w:ascii="Georgia" w:hAnsi="Georgia"/>
        </w:rPr>
      </w:pPr>
      <w:r w:rsidRPr="00A175F9">
        <w:rPr>
          <w:rFonts w:ascii="Georgia" w:hAnsi="Georgia" w:cs="Tahoma"/>
        </w:rPr>
        <w:t xml:space="preserve">To add to this, the Prophet permitted women to participate in religious activities such as congregational and ceremonial prayers. This opened another opportunity for them to ask the Prophet </w:t>
      </w:r>
      <w:r>
        <w:rPr>
          <w:color w:val="FF0000"/>
        </w:rPr>
        <w:sym w:font="AGA Arabesque" w:char="0072"/>
      </w:r>
      <w:r w:rsidRPr="00A175F9">
        <w:rPr>
          <w:rFonts w:ascii="Georgia" w:hAnsi="Georgia" w:cs="Tahoma"/>
        </w:rPr>
        <w:t xml:space="preserve"> questions on religions and social issues. Some female Companions frequently meet the Prophet at home to make enquiries about Islam either on their own or onbehalf of their husbands. In fact, a number of Qur’anic verses were revealed in response to women questions to the Prophet </w:t>
      </w:r>
      <w:r>
        <w:rPr>
          <w:color w:val="FF0000"/>
        </w:rPr>
        <w:sym w:font="AGA Arabesque" w:char="0072"/>
      </w:r>
      <w:r w:rsidRPr="00A175F9">
        <w:rPr>
          <w:rFonts w:ascii="Georgia" w:hAnsi="Georgia" w:cs="Tahoma"/>
        </w:rPr>
        <w:t>.</w:t>
      </w:r>
      <w:r w:rsidRPr="00A175F9">
        <w:rPr>
          <w:rStyle w:val="EndnoteReference"/>
          <w:rFonts w:ascii="Georgia" w:hAnsi="Georgia" w:cs="Tahoma"/>
        </w:rPr>
        <w:endnoteReference w:id="4"/>
      </w:r>
      <w:r w:rsidRPr="00A175F9">
        <w:rPr>
          <w:rFonts w:ascii="Georgia" w:hAnsi="Georgia"/>
        </w:rPr>
        <w:t xml:space="preserve">Thus, the Prophet </w:t>
      </w:r>
      <w:r>
        <w:rPr>
          <w:color w:val="FF0000"/>
        </w:rPr>
        <w:sym w:font="AGA Arabesque" w:char="0072"/>
      </w:r>
      <w:r w:rsidRPr="00A175F9">
        <w:rPr>
          <w:rFonts w:ascii="Georgia" w:hAnsi="Georgia"/>
        </w:rPr>
        <w:t xml:space="preserve"> devoted special attention to the teaching and training of women. He is reported to have said, [</w:t>
      </w:r>
      <w:r w:rsidRPr="00A175F9">
        <w:rPr>
          <w:rFonts w:ascii="Georgia" w:hAnsi="Georgia"/>
          <w:i/>
          <w:iCs/>
        </w:rPr>
        <w:t>Whoever brings up three daughters, teaches them good manners and skills, marries them (to good men) and treats them well, for him (is promised) Paradise</w:t>
      </w:r>
      <w:r w:rsidRPr="00A175F9">
        <w:rPr>
          <w:rFonts w:ascii="Georgia" w:hAnsi="Georgia"/>
        </w:rPr>
        <w:t>.” (Abu Daud)].</w:t>
      </w:r>
    </w:p>
    <w:p w:rsidR="00616B06" w:rsidRPr="00A175F9" w:rsidRDefault="00616B06" w:rsidP="00616B06">
      <w:pPr>
        <w:ind w:left="-630"/>
        <w:jc w:val="both"/>
        <w:rPr>
          <w:rFonts w:ascii="Georgia" w:hAnsi="Georgia"/>
        </w:rPr>
      </w:pPr>
      <w:r w:rsidRPr="00A175F9">
        <w:rPr>
          <w:rFonts w:ascii="Georgia" w:hAnsi="Georgia"/>
        </w:rPr>
        <w:t xml:space="preserve">Therefore, during the early times, Muslim women had keen desire for knowledge. and they never felt too shy to ask questions about their religious teachings.This was supported by Nana ‘A’isha’s statement; </w:t>
      </w:r>
      <w:r w:rsidRPr="00BB576D">
        <w:rPr>
          <w:rFonts w:ascii="Georgia" w:hAnsi="Georgia"/>
          <w:color w:val="FF0000"/>
        </w:rPr>
        <w:t>[].</w:t>
      </w:r>
      <w:r w:rsidRPr="00A175F9">
        <w:rPr>
          <w:rFonts w:ascii="Georgia" w:hAnsi="Georgia"/>
        </w:rPr>
        <w:t xml:space="preserve"> Qoute also A’isha’s statement, Ni’iman Nisa’…</w:t>
      </w:r>
      <w:r w:rsidRPr="00A175F9">
        <w:rPr>
          <w:rFonts w:ascii="Georgia" w:hAnsi="Georgia" w:cs="Tahoma"/>
        </w:rPr>
        <w:t xml:space="preserve">In many instances, the Qur’an ranks the educated Muslims, women inclusive, above everybody and takes them close </w:t>
      </w:r>
      <w:r w:rsidRPr="00A175F9">
        <w:rPr>
          <w:rFonts w:ascii="Georgia" w:hAnsi="Georgia" w:cs="Tahoma"/>
        </w:rPr>
        <w:lastRenderedPageBreak/>
        <w:t>to the level of Prophets and angels.</w:t>
      </w:r>
      <w:r w:rsidRPr="00A175F9">
        <w:rPr>
          <w:rStyle w:val="EndnoteReference"/>
          <w:rFonts w:ascii="Georgia" w:hAnsi="Georgia" w:cs="Tahoma"/>
        </w:rPr>
        <w:endnoteReference w:id="5"/>
      </w:r>
      <w:r w:rsidRPr="00A175F9">
        <w:rPr>
          <w:rFonts w:ascii="Georgia" w:hAnsi="Georgia" w:cs="Tahoma"/>
        </w:rPr>
        <w:t xml:space="preserve"> It is clear from the Qur’an that the scholars are categirized the only God-fearing people. In a nut shell, </w:t>
      </w:r>
      <w:r w:rsidRPr="00A175F9">
        <w:rPr>
          <w:rFonts w:ascii="Georgia" w:hAnsi="Georgia" w:cs="ZJansonText-Roman"/>
          <w:i/>
          <w:iCs/>
        </w:rPr>
        <w:t>women actually participated and contributed to the progress and development of education during the early history of Islamic civilization.</w:t>
      </w:r>
    </w:p>
    <w:p w:rsidR="00616B06" w:rsidRDefault="00616B06" w:rsidP="00616B06">
      <w:pPr>
        <w:ind w:left="-630"/>
        <w:jc w:val="both"/>
        <w:rPr>
          <w:rFonts w:ascii="Georgia" w:hAnsi="Georgia"/>
        </w:rPr>
      </w:pPr>
      <w:r w:rsidRPr="00A175F9">
        <w:rPr>
          <w:rFonts w:ascii="Georgia" w:hAnsi="Georgia" w:cs="Tahoma"/>
        </w:rPr>
        <w:t xml:space="preserve">In the contemporary times, women’s right to education and her role in national development is one of the issues being currently discussed. Nowadays, Muslim </w:t>
      </w:r>
      <w:r w:rsidRPr="00A175F9">
        <w:rPr>
          <w:rFonts w:ascii="Georgia" w:hAnsi="Georgia"/>
        </w:rPr>
        <w:t xml:space="preserve">women participate and contribute to national development to build sound Islamic society. They engage in many jobs which are respectable in their natureviz, teaching, medical practice, nursing, guidance and counseling, mid-wifery etc. </w:t>
      </w:r>
    </w:p>
    <w:p w:rsidR="00616B06" w:rsidRPr="0076662F" w:rsidRDefault="00616B06" w:rsidP="00616B06">
      <w:pPr>
        <w:ind w:left="-630"/>
        <w:jc w:val="both"/>
        <w:rPr>
          <w:b/>
          <w:bCs/>
          <w:color w:val="000000"/>
          <w:sz w:val="16"/>
          <w:szCs w:val="16"/>
        </w:rPr>
      </w:pPr>
    </w:p>
    <w:p w:rsidR="00616B06" w:rsidRDefault="00616B06" w:rsidP="00616B06">
      <w:pPr>
        <w:ind w:left="-630"/>
        <w:jc w:val="both"/>
        <w:rPr>
          <w:rFonts w:ascii="Georgia" w:hAnsi="Georgia"/>
        </w:rPr>
      </w:pPr>
      <w:r w:rsidRPr="00534C90">
        <w:rPr>
          <w:b/>
          <w:bCs/>
          <w:color w:val="000000"/>
          <w:sz w:val="26"/>
        </w:rPr>
        <w:t>Islam</w:t>
      </w:r>
      <w:r>
        <w:rPr>
          <w:b/>
          <w:bCs/>
          <w:color w:val="000000"/>
          <w:sz w:val="26"/>
        </w:rPr>
        <w:t>ic Education: Definition, Aims a</w:t>
      </w:r>
      <w:r w:rsidRPr="00534C90">
        <w:rPr>
          <w:b/>
          <w:bCs/>
          <w:color w:val="000000"/>
          <w:sz w:val="26"/>
        </w:rPr>
        <w:t>nd</w:t>
      </w:r>
      <w:r>
        <w:rPr>
          <w:b/>
          <w:bCs/>
          <w:color w:val="000000"/>
          <w:sz w:val="26"/>
        </w:rPr>
        <w:t>Concept</w:t>
      </w:r>
    </w:p>
    <w:p w:rsidR="00616B06" w:rsidRDefault="00616B06" w:rsidP="00616B06">
      <w:pPr>
        <w:ind w:left="-630"/>
        <w:jc w:val="both"/>
        <w:rPr>
          <w:rFonts w:ascii="Georgia" w:hAnsi="Georgia"/>
        </w:rPr>
      </w:pPr>
      <w:r w:rsidRPr="00086C41">
        <w:rPr>
          <w:sz w:val="26"/>
        </w:rPr>
        <w:t>Education</w:t>
      </w:r>
      <w:r>
        <w:rPr>
          <w:sz w:val="26"/>
        </w:rPr>
        <w:t xml:space="preserve"> being the most significant</w:t>
      </w:r>
      <w:r w:rsidRPr="00086C41">
        <w:rPr>
          <w:sz w:val="26"/>
        </w:rPr>
        <w:t xml:space="preserve"> legacy a society passes down to succeeding generation</w:t>
      </w:r>
      <w:r>
        <w:rPr>
          <w:sz w:val="26"/>
        </w:rPr>
        <w:t xml:space="preserve"> is a liv</w:t>
      </w:r>
      <w:r w:rsidRPr="00086C41">
        <w:rPr>
          <w:sz w:val="26"/>
        </w:rPr>
        <w:t>ewire for the development of mankind. Be</w:t>
      </w:r>
      <w:r>
        <w:rPr>
          <w:sz w:val="26"/>
        </w:rPr>
        <w:t>ing a result of teaching, skills acquisition</w:t>
      </w:r>
      <w:r w:rsidRPr="00086C41">
        <w:rPr>
          <w:sz w:val="26"/>
        </w:rPr>
        <w:t xml:space="preserve">, training of mind and character, education is the channel through which </w:t>
      </w:r>
      <w:r>
        <w:rPr>
          <w:sz w:val="26"/>
        </w:rPr>
        <w:t>societies disseminate and convey its civilization to</w:t>
      </w:r>
      <w:r w:rsidRPr="00086C41">
        <w:rPr>
          <w:sz w:val="26"/>
        </w:rPr>
        <w:t xml:space="preserve"> posterity. According to the narrow sense of the word, education could be defined as a process of imparting knowledge, training and skills to an individual with the sole aim of developing his intellectual faculties. </w:t>
      </w:r>
    </w:p>
    <w:p w:rsidR="00616B06" w:rsidRDefault="00616B06" w:rsidP="00616B06">
      <w:pPr>
        <w:ind w:left="-630"/>
        <w:jc w:val="both"/>
        <w:rPr>
          <w:rFonts w:ascii="Georgia" w:hAnsi="Georgia"/>
        </w:rPr>
      </w:pPr>
      <w:r>
        <w:rPr>
          <w:sz w:val="26"/>
        </w:rPr>
        <w:t>Others define education</w:t>
      </w:r>
      <w:r w:rsidRPr="00086C41">
        <w:rPr>
          <w:sz w:val="26"/>
        </w:rPr>
        <w:t xml:space="preserve"> as the art or process of imparting or acquiring knowledge and habits through instructions or study.</w:t>
      </w:r>
      <w:r w:rsidRPr="00086C41">
        <w:rPr>
          <w:rStyle w:val="FootnoteReference"/>
          <w:sz w:val="26"/>
        </w:rPr>
        <w:footnoteReference w:id="9"/>
      </w:r>
      <w:r>
        <w:rPr>
          <w:sz w:val="26"/>
        </w:rPr>
        <w:t xml:space="preserve"> A renowned</w:t>
      </w:r>
      <w:r w:rsidRPr="00086C41">
        <w:rPr>
          <w:sz w:val="26"/>
        </w:rPr>
        <w:t xml:space="preserve"> philosopher puts it as a process of forming fundamental dispositions, intellectual and emotional, towards nature and fellow men.</w:t>
      </w:r>
      <w:r w:rsidRPr="00086C41">
        <w:rPr>
          <w:rStyle w:val="FootnoteReference"/>
          <w:sz w:val="26"/>
        </w:rPr>
        <w:footnoteReference w:id="10"/>
      </w:r>
      <w:r>
        <w:rPr>
          <w:sz w:val="26"/>
        </w:rPr>
        <w:t>According to Ahmad</w:t>
      </w:r>
      <w:r w:rsidRPr="00086C41">
        <w:rPr>
          <w:sz w:val="26"/>
        </w:rPr>
        <w:t>, education designates only those special influences which are organized and devised by teachers in schools, colleges and other places of education.</w:t>
      </w:r>
      <w:r w:rsidRPr="00086C41">
        <w:rPr>
          <w:rStyle w:val="FootnoteReference"/>
          <w:sz w:val="26"/>
        </w:rPr>
        <w:footnoteReference w:id="11"/>
      </w:r>
      <w:r w:rsidRPr="00086C41">
        <w:rPr>
          <w:sz w:val="26"/>
        </w:rPr>
        <w:t xml:space="preserve"> The discipline of education then, in line with the above definitions, concerns itself with teaching and learning different branches of knowledge by both the teacher and the learner, through information, skills and attitudes, in order to mould the behavior of the latter to adapt to the needs of the environment.</w:t>
      </w:r>
    </w:p>
    <w:p w:rsidR="00616B06" w:rsidRDefault="00616B06" w:rsidP="00616B06">
      <w:pPr>
        <w:ind w:left="-630"/>
        <w:jc w:val="both"/>
        <w:rPr>
          <w:sz w:val="26"/>
        </w:rPr>
      </w:pPr>
      <w:r w:rsidRPr="00086C41">
        <w:rPr>
          <w:sz w:val="26"/>
        </w:rPr>
        <w:t xml:space="preserve">Unlike the aforementioned brief definitions of education and all other meanings given to it by the western philosophers and scholars, which is not discussed here, Islam in the first place, does not limit the concept </w:t>
      </w:r>
      <w:r>
        <w:rPr>
          <w:sz w:val="26"/>
        </w:rPr>
        <w:t xml:space="preserve">of education </w:t>
      </w:r>
      <w:r w:rsidRPr="00086C41">
        <w:rPr>
          <w:sz w:val="26"/>
        </w:rPr>
        <w:t xml:space="preserve">to a narrow definition. It considers education to be principle prerequisite and an obligation governing the responsibility of an individual, the society and the nation at large. Education is considered to be a form of worship and that mankind is encouraged and enshrined to vigorously pursue it. To this extent, the </w:t>
      </w:r>
      <w:r w:rsidRPr="00886648">
        <w:rPr>
          <w:sz w:val="26"/>
        </w:rPr>
        <w:t>Quran,</w:t>
      </w:r>
      <w:r w:rsidRPr="00086C41">
        <w:rPr>
          <w:sz w:val="26"/>
        </w:rPr>
        <w:t xml:space="preserve"> which</w:t>
      </w:r>
      <w:r>
        <w:rPr>
          <w:sz w:val="26"/>
        </w:rPr>
        <w:t xml:space="preserve"> is the main </w:t>
      </w:r>
      <w:r w:rsidRPr="00086C41">
        <w:rPr>
          <w:sz w:val="26"/>
        </w:rPr>
        <w:t xml:space="preserve">factor and source </w:t>
      </w:r>
      <w:r>
        <w:rPr>
          <w:sz w:val="26"/>
        </w:rPr>
        <w:t xml:space="preserve">of </w:t>
      </w:r>
      <w:r w:rsidRPr="00086C41">
        <w:rPr>
          <w:sz w:val="26"/>
        </w:rPr>
        <w:t>other branches of knowledge, gives several kinds of pra</w:t>
      </w:r>
      <w:r>
        <w:rPr>
          <w:sz w:val="26"/>
        </w:rPr>
        <w:t xml:space="preserve">ise to the pursuit of education. </w:t>
      </w:r>
    </w:p>
    <w:p w:rsidR="00616B06" w:rsidRDefault="00616B06" w:rsidP="00616B06">
      <w:pPr>
        <w:ind w:left="-630"/>
        <w:jc w:val="both"/>
        <w:rPr>
          <w:sz w:val="26"/>
        </w:rPr>
      </w:pPr>
      <w:r w:rsidRPr="00086C41">
        <w:rPr>
          <w:sz w:val="26"/>
        </w:rPr>
        <w:t xml:space="preserve">However, before making further analysis on the definition, aims and concept of Islamic education, it is worthwhile to examine briefly the views of the two fundamental sources of Islam, in relation to knowledge and education. The first Quranic revelation which instructed the Prophet </w:t>
      </w:r>
      <w:r>
        <w:rPr>
          <w:color w:val="FF0000"/>
        </w:rPr>
        <w:sym w:font="AGA Arabesque" w:char="0072"/>
      </w:r>
      <w:r>
        <w:rPr>
          <w:sz w:val="26"/>
        </w:rPr>
        <w:t>to read</w:t>
      </w:r>
      <w:r w:rsidRPr="00086C41">
        <w:rPr>
          <w:sz w:val="26"/>
        </w:rPr>
        <w:t xml:space="preserve"> signifies that the first teaching of the Creator was to impart knowledge and understanding. The verse states; </w:t>
      </w:r>
    </w:p>
    <w:p w:rsidR="00616B06" w:rsidRPr="00600EFF" w:rsidRDefault="00616B06" w:rsidP="00616B06">
      <w:pPr>
        <w:bidi/>
        <w:ind w:left="-90" w:right="-720"/>
        <w:jc w:val="center"/>
        <w:rPr>
          <w:rFonts w:ascii="Georgia" w:hAnsi="Georgia"/>
          <w:color w:val="FF0000"/>
          <w:sz w:val="32"/>
          <w:szCs w:val="32"/>
        </w:rPr>
      </w:pPr>
      <w:r w:rsidRPr="00600EFF">
        <w:rPr>
          <w:rFonts w:ascii="Traditional Arabic" w:eastAsiaTheme="minorHAnsi" w:hAnsi="Traditional Arabic" w:cs="Traditional Arabic"/>
          <w:color w:val="FF0000"/>
          <w:sz w:val="32"/>
          <w:szCs w:val="32"/>
          <w:rtl/>
        </w:rPr>
        <w:t>اقْرَأْ بِاسْمِ رَبِّكَ الَّذِي خَلَقَ خَلَقَ الْإِنْسَانَ مِنْ عَلَقٍ اقْرَأْ وَرَبُّكَ الْأَكْرَمُ الَّذِي عَلَّمَ بِالْقَلَمِ عَلَّمَ الْإِنْسَانَ مَا لَمْ يَعْلَمْ</w:t>
      </w:r>
    </w:p>
    <w:p w:rsidR="00616B06" w:rsidRPr="009A0967" w:rsidRDefault="00616B06" w:rsidP="00616B06">
      <w:pPr>
        <w:shd w:val="clear" w:color="auto" w:fill="FFFFFF"/>
        <w:autoSpaceDE w:val="0"/>
        <w:autoSpaceDN w:val="0"/>
        <w:adjustRightInd w:val="0"/>
        <w:ind w:right="180"/>
        <w:jc w:val="center"/>
        <w:rPr>
          <w:i/>
          <w:iCs/>
          <w:color w:val="7030A0"/>
          <w:sz w:val="26"/>
        </w:rPr>
      </w:pPr>
      <w:r w:rsidRPr="009A0967">
        <w:rPr>
          <w:i/>
          <w:iCs/>
          <w:color w:val="7030A0"/>
          <w:sz w:val="26"/>
        </w:rPr>
        <w:t>'Read in the name of your Lord Who created; Created man out of a (mere) congealed blood. Read! And your Lord is the Most Bountiful. He Who taught (the use of) the pen. Taught man what he knew not'.</w:t>
      </w:r>
      <w:r w:rsidRPr="009A0967">
        <w:rPr>
          <w:rStyle w:val="FootnoteReference"/>
          <w:i/>
          <w:iCs/>
          <w:color w:val="7030A0"/>
          <w:sz w:val="26"/>
        </w:rPr>
        <w:footnoteReference w:id="12"/>
      </w:r>
    </w:p>
    <w:p w:rsidR="00616B06" w:rsidRDefault="00616B06" w:rsidP="00616B06">
      <w:pPr>
        <w:ind w:left="-630"/>
        <w:jc w:val="both"/>
        <w:rPr>
          <w:color w:val="000000"/>
          <w:sz w:val="26"/>
        </w:rPr>
      </w:pPr>
      <w:r w:rsidRPr="00534C90">
        <w:rPr>
          <w:color w:val="000000"/>
          <w:sz w:val="26"/>
        </w:rPr>
        <w:lastRenderedPageBreak/>
        <w:t xml:space="preserve">By inference, these verses instruct mankind, not only the Prophet </w:t>
      </w:r>
      <w:r>
        <w:rPr>
          <w:color w:val="000000"/>
          <w:sz w:val="26"/>
        </w:rPr>
        <w:t>SWTto read, i.e. to per</w:t>
      </w:r>
      <w:r w:rsidRPr="00534C90">
        <w:rPr>
          <w:color w:val="000000"/>
          <w:sz w:val="26"/>
        </w:rPr>
        <w:t xml:space="preserve">ceive, understand, reflect and continuously learn. Similarly, </w:t>
      </w:r>
      <w:r w:rsidRPr="00DB3D91">
        <w:rPr>
          <w:color w:val="000000"/>
          <w:sz w:val="26"/>
        </w:rPr>
        <w:t>Allah</w:t>
      </w:r>
      <w:r>
        <w:rPr>
          <w:color w:val="000000"/>
          <w:sz w:val="26"/>
        </w:rPr>
        <w:t>SWT</w:t>
      </w:r>
      <w:r w:rsidRPr="00534C90">
        <w:rPr>
          <w:color w:val="000000"/>
          <w:sz w:val="26"/>
        </w:rPr>
        <w:t>urges humankind to study the universe and examine its affinities and its assorted components. The purpose behind this is to enable man realize the aim of his exis</w:t>
      </w:r>
      <w:r>
        <w:rPr>
          <w:color w:val="000000"/>
          <w:sz w:val="26"/>
        </w:rPr>
        <w:t>tence,</w:t>
      </w:r>
      <w:r>
        <w:rPr>
          <w:rStyle w:val="FootnoteReference"/>
          <w:color w:val="000000"/>
          <w:sz w:val="26"/>
        </w:rPr>
        <w:footnoteReference w:id="13"/>
      </w:r>
      <w:r>
        <w:rPr>
          <w:color w:val="000000"/>
          <w:sz w:val="26"/>
        </w:rPr>
        <w:t xml:space="preserve"> prepare him to acquire knowledge</w:t>
      </w:r>
      <w:r w:rsidRPr="00534C90">
        <w:rPr>
          <w:color w:val="000000"/>
          <w:sz w:val="26"/>
        </w:rPr>
        <w:t xml:space="preserve"> and promote civilization</w:t>
      </w:r>
      <w:r>
        <w:rPr>
          <w:color w:val="000000"/>
          <w:sz w:val="26"/>
        </w:rPr>
        <w:t>.</w:t>
      </w:r>
    </w:p>
    <w:p w:rsidR="00616B06" w:rsidRDefault="00616B06" w:rsidP="00616B06">
      <w:pPr>
        <w:ind w:left="-630"/>
        <w:jc w:val="both"/>
        <w:rPr>
          <w:color w:val="000000"/>
          <w:sz w:val="26"/>
        </w:rPr>
      </w:pPr>
      <w:r w:rsidRPr="00534C90">
        <w:rPr>
          <w:color w:val="000000"/>
          <w:sz w:val="26"/>
        </w:rPr>
        <w:t xml:space="preserve">So often the </w:t>
      </w:r>
      <w:r w:rsidRPr="00534C90">
        <w:rPr>
          <w:i/>
          <w:iCs/>
          <w:color w:val="000000"/>
          <w:sz w:val="26"/>
        </w:rPr>
        <w:t xml:space="preserve">Quran </w:t>
      </w:r>
      <w:r w:rsidRPr="00534C90">
        <w:rPr>
          <w:color w:val="000000"/>
          <w:sz w:val="26"/>
        </w:rPr>
        <w:t xml:space="preserve">appeals to human reasons and address the Muslims;                    </w:t>
      </w:r>
      <w:r>
        <w:rPr>
          <w:color w:val="000000"/>
          <w:sz w:val="26"/>
        </w:rPr>
        <w:t>‘</w:t>
      </w:r>
      <w:r>
        <w:rPr>
          <w:i/>
          <w:iCs/>
          <w:color w:val="000000"/>
          <w:sz w:val="26"/>
        </w:rPr>
        <w:t>Those who understand’</w:t>
      </w:r>
      <w:r w:rsidRPr="00534C90">
        <w:rPr>
          <w:i/>
          <w:iCs/>
          <w:color w:val="000000"/>
          <w:sz w:val="26"/>
        </w:rPr>
        <w:t xml:space="preserve">, ‘Those who </w:t>
      </w:r>
      <w:r>
        <w:rPr>
          <w:i/>
          <w:iCs/>
          <w:color w:val="000000"/>
          <w:sz w:val="26"/>
        </w:rPr>
        <w:t>think’, ‘Those who observe', 'Those who know’</w:t>
      </w:r>
      <w:r w:rsidRPr="00534C90">
        <w:rPr>
          <w:i/>
          <w:iCs/>
          <w:color w:val="000000"/>
          <w:sz w:val="26"/>
        </w:rPr>
        <w:t xml:space="preserve">, </w:t>
      </w:r>
      <w:r w:rsidRPr="00534C90">
        <w:rPr>
          <w:color w:val="000000"/>
          <w:sz w:val="26"/>
        </w:rPr>
        <w:t xml:space="preserve">etc. There are other numerous verses of the </w:t>
      </w:r>
      <w:r w:rsidRPr="00534C90">
        <w:rPr>
          <w:i/>
          <w:iCs/>
          <w:color w:val="000000"/>
          <w:sz w:val="26"/>
        </w:rPr>
        <w:t xml:space="preserve">Quran </w:t>
      </w:r>
      <w:r w:rsidRPr="00534C90">
        <w:rPr>
          <w:color w:val="000000"/>
          <w:sz w:val="26"/>
        </w:rPr>
        <w:t>which shows the importance of education and gives emphasis on developing human faculties and careful observation of the phenomena of nature. Most of those verses also urge man to activate hi</w:t>
      </w:r>
      <w:r>
        <w:rPr>
          <w:color w:val="000000"/>
          <w:sz w:val="26"/>
        </w:rPr>
        <w:t>s intellect, ponder deeply, wise</w:t>
      </w:r>
      <w:r w:rsidRPr="00534C90">
        <w:rPr>
          <w:color w:val="000000"/>
          <w:sz w:val="26"/>
        </w:rPr>
        <w:t>ly and conscientio</w:t>
      </w:r>
      <w:r>
        <w:rPr>
          <w:color w:val="000000"/>
          <w:sz w:val="26"/>
        </w:rPr>
        <w:t xml:space="preserve">usly upon the entire phenomena </w:t>
      </w:r>
      <w:r w:rsidRPr="00534C90">
        <w:rPr>
          <w:color w:val="000000"/>
          <w:sz w:val="26"/>
        </w:rPr>
        <w:t xml:space="preserve">in the world around him. For example, </w:t>
      </w:r>
      <w:r w:rsidRPr="00DB3D91">
        <w:rPr>
          <w:color w:val="000000"/>
          <w:sz w:val="26"/>
        </w:rPr>
        <w:t xml:space="preserve">Allah </w:t>
      </w:r>
      <w:r>
        <w:rPr>
          <w:color w:val="000000"/>
          <w:sz w:val="26"/>
        </w:rPr>
        <w:t>SWT</w:t>
      </w:r>
      <w:r w:rsidRPr="00534C90">
        <w:rPr>
          <w:color w:val="000000"/>
          <w:sz w:val="26"/>
        </w:rPr>
        <w:t>says;</w:t>
      </w:r>
    </w:p>
    <w:p w:rsidR="00616B06" w:rsidRPr="00622ADF" w:rsidRDefault="00616B06" w:rsidP="00616B06">
      <w:pPr>
        <w:bidi/>
        <w:ind w:right="-630"/>
        <w:jc w:val="both"/>
        <w:rPr>
          <w:rFonts w:ascii="Traditional Arabic" w:eastAsiaTheme="minorHAnsi" w:hAnsi="Traditional Arabic" w:cs="Traditional Arabic"/>
          <w:color w:val="FF0000"/>
          <w:sz w:val="32"/>
          <w:szCs w:val="32"/>
        </w:rPr>
      </w:pPr>
      <w:r w:rsidRPr="00622ADF">
        <w:rPr>
          <w:rFonts w:ascii="Traditional Arabic" w:eastAsiaTheme="minorHAnsi" w:hAnsi="Traditional Arabic" w:cs="Traditional Arabic"/>
          <w:color w:val="FF0000"/>
          <w:sz w:val="32"/>
          <w:szCs w:val="32"/>
          <w:rtl/>
        </w:rPr>
        <w:t>إِنَّ فِي خَلْقِ السَّمَاوَاتِ وَالْأَرْضِ وَاخْتِلَافِ اللَّيْلِ وَالنَّهَارِ وَالْفُلْكِ الَّتِي تَجْرِي فِي الْبَحْرِ بِمَا يَنْفَعُ النَّاسَ وَمَا أَنْزَلَ اللَّهُ مِنَ السَّمَاءِ مِنْ مَاءٍ فَأَحْيَا بِهِ الْأَرْضَ بَعْدَ مَوْتِهَا وَبَثَّ فِيهَا مِنْ كُلِّ دَابَّةٍ وَتَصْرِيفِ الرِّيَاحِ وَالسَّحَابِ الْمُسَخَّرِ بَيْنَ السَّمَاءِ وَالْأَرْضِ لَآيَاتٍ لِقَوْمٍ يَعْقِلُون</w:t>
      </w:r>
    </w:p>
    <w:p w:rsidR="00616B06" w:rsidRPr="00564926" w:rsidRDefault="00616B06" w:rsidP="00616B06">
      <w:pPr>
        <w:bidi/>
        <w:ind w:right="-630"/>
        <w:jc w:val="center"/>
        <w:rPr>
          <w:rFonts w:ascii="Georgia" w:hAnsi="Georgia"/>
          <w:i/>
          <w:iCs/>
          <w:color w:val="7030A0"/>
        </w:rPr>
      </w:pPr>
      <w:r w:rsidRPr="00564926">
        <w:rPr>
          <w:rFonts w:ascii="Georgia" w:hAnsi="Georgia"/>
          <w:i/>
          <w:iCs/>
          <w:color w:val="7030A0"/>
        </w:rPr>
        <w:t>'Verily in the creation of the heavens and the earth, and the alterations of night and day, and the ships that course upon the sea laden with that which profits mankind and that which Allah sends down of water from the heaven reviving the earth after its death; and scatters therein of all kinds of moving creatures, and in the ordinance of the winds, and the clouds obedient between heaven and the earth are signs for people who have sense’.</w:t>
      </w:r>
      <w:r w:rsidRPr="00564926">
        <w:rPr>
          <w:rStyle w:val="FootnoteReference"/>
          <w:rFonts w:ascii="Georgia" w:hAnsi="Georgia"/>
          <w:i/>
          <w:iCs/>
          <w:color w:val="7030A0"/>
        </w:rPr>
        <w:footnoteReference w:id="14"/>
      </w:r>
    </w:p>
    <w:p w:rsidR="00616B06" w:rsidRPr="00564926" w:rsidRDefault="00616B06" w:rsidP="00616B06">
      <w:pPr>
        <w:ind w:left="-630"/>
        <w:jc w:val="both"/>
        <w:rPr>
          <w:rFonts w:ascii="Georgia" w:hAnsi="Georgia"/>
          <w:color w:val="000000"/>
        </w:rPr>
      </w:pPr>
      <w:r w:rsidRPr="00564926">
        <w:rPr>
          <w:rFonts w:ascii="Georgia" w:hAnsi="Georgia"/>
          <w:color w:val="000000"/>
        </w:rPr>
        <w:t>According to Khalil, whatever is said about reflection also applies to acquiring knowledge which is an intellectual step beyond reflection and the result of it. Acquiring knowledge gives man a greater consciousness of his surroundings and a deeper insight of the magnitude of his being and relationship with the cosmos. It opens up his perceptions at all times and ensures his readiness to tackle, in a responsible manner, every issue, phenomenon or problem that presents itself to him.</w:t>
      </w:r>
      <w:r w:rsidRPr="00564926">
        <w:rPr>
          <w:rStyle w:val="FootnoteReference"/>
          <w:rFonts w:ascii="Georgia" w:hAnsi="Georgia"/>
          <w:color w:val="000000"/>
        </w:rPr>
        <w:footnoteReference w:id="15"/>
      </w:r>
    </w:p>
    <w:p w:rsidR="00616B06" w:rsidRPr="00564926" w:rsidRDefault="00616B06" w:rsidP="00616B06">
      <w:pPr>
        <w:ind w:left="-630"/>
        <w:jc w:val="both"/>
        <w:rPr>
          <w:rFonts w:ascii="Georgia" w:hAnsi="Georgia"/>
        </w:rPr>
      </w:pPr>
      <w:r w:rsidRPr="00564926">
        <w:rPr>
          <w:rFonts w:ascii="Georgia" w:hAnsi="Georgia"/>
          <w:color w:val="000000"/>
        </w:rPr>
        <w:t>The Qurantherefore stresses the importance of the use of proof, argument and intelligent debate to arrive at valid result founded on induction, comparison, balance and examination, and supported by the basis of agreed external data and as well as the strength of the intellectual and logical powers of those people who have greater competence in this field.</w:t>
      </w:r>
      <w:r w:rsidRPr="00564926">
        <w:rPr>
          <w:rStyle w:val="FootnoteReference"/>
          <w:rFonts w:ascii="Georgia" w:hAnsi="Georgia"/>
          <w:color w:val="000000"/>
        </w:rPr>
        <w:footnoteReference w:id="16"/>
      </w:r>
      <w:r w:rsidRPr="00564926">
        <w:rPr>
          <w:rFonts w:ascii="Georgia" w:hAnsi="Georgia"/>
          <w:color w:val="000000"/>
        </w:rPr>
        <w:t>There are other verses of the glorious Quran which have educational connotation.</w:t>
      </w:r>
      <w:r w:rsidRPr="00564926">
        <w:rPr>
          <w:rStyle w:val="FootnoteReference"/>
          <w:rFonts w:ascii="Georgia" w:hAnsi="Georgia"/>
          <w:color w:val="000000"/>
        </w:rPr>
        <w:footnoteReference w:id="17"/>
      </w:r>
    </w:p>
    <w:p w:rsidR="00616B06" w:rsidRPr="00564926" w:rsidRDefault="00616B06" w:rsidP="00616B06">
      <w:pPr>
        <w:ind w:left="-630"/>
        <w:jc w:val="both"/>
        <w:rPr>
          <w:rFonts w:ascii="Georgia" w:hAnsi="Georgia"/>
          <w:color w:val="000000"/>
        </w:rPr>
      </w:pPr>
      <w:r w:rsidRPr="00564926">
        <w:rPr>
          <w:rFonts w:ascii="Georgia" w:hAnsi="Georgia"/>
          <w:color w:val="000000"/>
        </w:rPr>
        <w:t xml:space="preserve">Many other Prophetic traditions </w:t>
      </w:r>
      <w:r w:rsidRPr="00564926">
        <w:rPr>
          <w:rFonts w:ascii="Georgia" w:hAnsi="Georgia"/>
          <w:i/>
          <w:iCs/>
          <w:color w:val="000000"/>
        </w:rPr>
        <w:t xml:space="preserve">(Hadith) </w:t>
      </w:r>
      <w:r w:rsidRPr="00564926">
        <w:rPr>
          <w:rFonts w:ascii="Georgia" w:hAnsi="Georgia"/>
          <w:color w:val="000000"/>
        </w:rPr>
        <w:t xml:space="preserve">further urges for acquisition of knowledge and learning. More often than not the Prophet </w:t>
      </w:r>
      <w:r w:rsidRPr="00564926">
        <w:rPr>
          <w:rFonts w:ascii="Georgia" w:hAnsi="Georgia"/>
          <w:color w:val="FF0000"/>
        </w:rPr>
        <w:sym w:font="AGA Arabesque" w:char="0072"/>
      </w:r>
      <w:r w:rsidRPr="00564926">
        <w:rPr>
          <w:rFonts w:ascii="Georgia" w:hAnsi="Georgia"/>
          <w:color w:val="000000"/>
        </w:rPr>
        <w:t xml:space="preserve">used to supplicate </w:t>
      </w:r>
      <w:r w:rsidRPr="00564926">
        <w:rPr>
          <w:rFonts w:ascii="Georgia" w:hAnsi="Georgia"/>
          <w:i/>
          <w:iCs/>
          <w:color w:val="000000"/>
        </w:rPr>
        <w:t xml:space="preserve">'Lord! Bestow on me an increase of knowledge’. </w:t>
      </w:r>
      <w:r w:rsidRPr="00564926">
        <w:rPr>
          <w:rFonts w:ascii="Georgia" w:hAnsi="Georgia"/>
          <w:color w:val="000000"/>
        </w:rPr>
        <w:t xml:space="preserve">Considering the fact that there were only few people who knew the art of reading and writing during his life time, the Prophet </w:t>
      </w:r>
      <w:r w:rsidRPr="00564926">
        <w:rPr>
          <w:rFonts w:ascii="Georgia" w:hAnsi="Georgia"/>
          <w:color w:val="FF0000"/>
        </w:rPr>
        <w:sym w:font="AGA Arabesque" w:char="0072"/>
      </w:r>
      <w:r w:rsidRPr="00564926">
        <w:rPr>
          <w:rFonts w:ascii="Georgia" w:hAnsi="Georgia"/>
          <w:color w:val="000000"/>
        </w:rPr>
        <w:t xml:space="preserve"> stipulated as a condition that each of the captives of Badrwould engage in teaching at least ten persons how to read and write before </w:t>
      </w:r>
      <w:r w:rsidRPr="00564926">
        <w:rPr>
          <w:rFonts w:ascii="Georgia" w:hAnsi="Georgia"/>
          <w:color w:val="000000"/>
        </w:rPr>
        <w:lastRenderedPageBreak/>
        <w:t>they were set free.</w:t>
      </w:r>
      <w:r w:rsidRPr="00564926">
        <w:rPr>
          <w:rStyle w:val="FootnoteReference"/>
          <w:rFonts w:ascii="Georgia" w:hAnsi="Georgia"/>
          <w:color w:val="000000"/>
        </w:rPr>
        <w:footnoteReference w:id="18"/>
      </w:r>
      <w:r w:rsidRPr="00564926">
        <w:rPr>
          <w:rFonts w:ascii="Georgia" w:hAnsi="Georgia"/>
          <w:color w:val="000000"/>
        </w:rPr>
        <w:t xml:space="preserve">Some other </w:t>
      </w:r>
      <w:r w:rsidRPr="00564926">
        <w:rPr>
          <w:rFonts w:ascii="Georgia" w:hAnsi="Georgia"/>
          <w:i/>
          <w:iCs/>
          <w:color w:val="000000"/>
        </w:rPr>
        <w:t xml:space="preserve">Hadith </w:t>
      </w:r>
      <w:r w:rsidRPr="00564926">
        <w:rPr>
          <w:rFonts w:ascii="Georgia" w:hAnsi="Georgia"/>
          <w:color w:val="000000"/>
        </w:rPr>
        <w:t>emphatically generalize on the pursuit of all kinds of education from any where, in whichever language and from any one.</w:t>
      </w:r>
      <w:r w:rsidRPr="00564926">
        <w:rPr>
          <w:rStyle w:val="FootnoteReference"/>
          <w:rFonts w:ascii="Georgia" w:hAnsi="Georgia"/>
          <w:color w:val="000000"/>
        </w:rPr>
        <w:footnoteReference w:id="19"/>
      </w:r>
    </w:p>
    <w:p w:rsidR="00616B06" w:rsidRPr="00564926" w:rsidRDefault="00616B06" w:rsidP="00616B06">
      <w:pPr>
        <w:ind w:left="-630"/>
        <w:jc w:val="both"/>
        <w:rPr>
          <w:rFonts w:ascii="Georgia" w:hAnsi="Georgia"/>
          <w:color w:val="000000"/>
        </w:rPr>
      </w:pPr>
      <w:r w:rsidRPr="00564926">
        <w:rPr>
          <w:rFonts w:ascii="Georgia" w:hAnsi="Georgia"/>
          <w:color w:val="000000"/>
        </w:rPr>
        <w:t>‘Aliyu bin Abi Talib recognizing the significance of knowledge considered it as the greatest treasure and declared; ‘glory is due to non other than the learned. Guided are they and proofs to the seekers of guidance. Everybody is honored in proportion to this knowledge. But the illiterate are disgraced as enemies of the learned. Acquire knowledge and you will be immortal. All people are dead, the learned are alive’.Ibn al-Qayyim al-Jauzi, while buttressing the importance of knowledge in Islam, expounded and enunciated more than one hundred and twenty aspects and virtues of knowledge.</w:t>
      </w:r>
      <w:r w:rsidRPr="00564926">
        <w:rPr>
          <w:rStyle w:val="FootnoteReference"/>
          <w:rFonts w:ascii="Georgia" w:hAnsi="Georgia"/>
          <w:color w:val="000000"/>
        </w:rPr>
        <w:footnoteReference w:id="20"/>
      </w:r>
    </w:p>
    <w:p w:rsidR="00616B06" w:rsidRPr="00564926" w:rsidRDefault="00616B06" w:rsidP="00616B06">
      <w:pPr>
        <w:ind w:left="-630"/>
        <w:jc w:val="both"/>
        <w:rPr>
          <w:rFonts w:ascii="Georgia" w:hAnsi="Georgia"/>
          <w:color w:val="000000"/>
        </w:rPr>
      </w:pPr>
      <w:r w:rsidRPr="00564926">
        <w:rPr>
          <w:rFonts w:ascii="Georgia" w:hAnsi="Georgia"/>
          <w:color w:val="000000"/>
        </w:rPr>
        <w:t xml:space="preserve">It was these and other similar revolutionary statements of the Prophet and </w:t>
      </w:r>
      <w:r w:rsidRPr="00564926">
        <w:rPr>
          <w:rFonts w:ascii="Georgia" w:hAnsi="Georgia"/>
          <w:i/>
          <w:iCs/>
          <w:color w:val="000000"/>
        </w:rPr>
        <w:t xml:space="preserve">Salaf al Salih </w:t>
      </w:r>
      <w:r w:rsidRPr="00564926">
        <w:rPr>
          <w:rFonts w:ascii="Georgia" w:hAnsi="Georgia"/>
          <w:color w:val="000000"/>
        </w:rPr>
        <w:t>concerning education and knowledge that made the early Muslims to master various arts and became leading figures in various branches of learning. According to Naqvi, [Islamic education and] Arabic the language of the Quran had become an international vehicle of scientific progress. Not only the Muslims but the Jews and Christians began to write their works on scientific subjects in Arabic language. The Muslims not only mastered philosophy but salvaged it from destruction since most of thepresent works of Greek philosophers in Greek language, are the translation from Arabic works.</w:t>
      </w:r>
      <w:r w:rsidRPr="00564926">
        <w:rPr>
          <w:rStyle w:val="FootnoteReference"/>
          <w:rFonts w:ascii="Georgia" w:hAnsi="Georgia"/>
          <w:color w:val="000000"/>
        </w:rPr>
        <w:footnoteReference w:id="21"/>
      </w:r>
    </w:p>
    <w:p w:rsidR="00616B06" w:rsidRPr="00564926" w:rsidRDefault="00616B06" w:rsidP="00616B06">
      <w:pPr>
        <w:ind w:left="-630"/>
        <w:jc w:val="both"/>
        <w:rPr>
          <w:rFonts w:ascii="Georgia" w:hAnsi="Georgia"/>
          <w:color w:val="000000"/>
        </w:rPr>
      </w:pPr>
      <w:r w:rsidRPr="00564926">
        <w:rPr>
          <w:rFonts w:ascii="Georgia" w:hAnsi="Georgia"/>
          <w:color w:val="000000"/>
        </w:rPr>
        <w:t xml:space="preserve">Islam therefore views education as the process through which it inculcates knowledge in human mind and that knowledge is the climax of Islamic value system. In other words, Islam can not reconcile itself to a view of education devoid of spiritual dimension and fails to place moral values at the very heart and centre of learning. In other words learning without moral discipline is of no avail. </w:t>
      </w:r>
      <w:r w:rsidRPr="00564926">
        <w:rPr>
          <w:rFonts w:ascii="Georgia" w:hAnsi="Georgia"/>
          <w:i/>
          <w:iCs/>
          <w:color w:val="000000"/>
        </w:rPr>
        <w:t xml:space="preserve">Tarbiyyah </w:t>
      </w:r>
      <w:r w:rsidRPr="00564926">
        <w:rPr>
          <w:rFonts w:ascii="Georgia" w:hAnsi="Georgia"/>
          <w:color w:val="000000"/>
        </w:rPr>
        <w:t xml:space="preserve">(education with moral guidance) is very necessary. Hence, the responsibility of a </w:t>
      </w:r>
      <w:r w:rsidRPr="00564926">
        <w:rPr>
          <w:rFonts w:ascii="Georgia" w:hAnsi="Georgia"/>
          <w:i/>
          <w:iCs/>
          <w:color w:val="000000"/>
        </w:rPr>
        <w:t xml:space="preserve">Murabbi </w:t>
      </w:r>
      <w:r w:rsidRPr="00564926">
        <w:rPr>
          <w:rFonts w:ascii="Georgia" w:hAnsi="Georgia"/>
          <w:color w:val="000000"/>
        </w:rPr>
        <w:t xml:space="preserve">(teacher or educator) covers looking after, taking care of, nourishing and helping a child to grow and flourish. Islamic education therefore, according to Murrad, means imparting knowledge in an Islamic framework and allowing people to live in surrender to Allah,something more comprehensive than mere religious instructions in faith and practices of Islam. </w:t>
      </w:r>
    </w:p>
    <w:p w:rsidR="00616B06" w:rsidRPr="00564926" w:rsidRDefault="00616B06" w:rsidP="00616B06">
      <w:pPr>
        <w:ind w:left="-630"/>
        <w:jc w:val="both"/>
        <w:rPr>
          <w:rFonts w:ascii="Georgia" w:hAnsi="Georgia"/>
          <w:color w:val="000000"/>
        </w:rPr>
      </w:pPr>
      <w:r w:rsidRPr="00564926">
        <w:rPr>
          <w:rFonts w:ascii="Georgia" w:hAnsi="Georgia"/>
          <w:color w:val="000000"/>
        </w:rPr>
        <w:lastRenderedPageBreak/>
        <w:t xml:space="preserve">Thus, the true meaning of education under the Islamic context should have to cover </w:t>
      </w:r>
      <w:r w:rsidRPr="00564926">
        <w:rPr>
          <w:rFonts w:ascii="Georgia" w:hAnsi="Georgia"/>
          <w:i/>
          <w:iCs/>
          <w:color w:val="000000"/>
        </w:rPr>
        <w:t xml:space="preserve">atTarbiyyah </w:t>
      </w:r>
      <w:r w:rsidRPr="00564926">
        <w:rPr>
          <w:rFonts w:ascii="Georgia" w:hAnsi="Georgia"/>
          <w:color w:val="000000"/>
        </w:rPr>
        <w:t xml:space="preserve">and </w:t>
      </w:r>
      <w:r w:rsidRPr="00564926">
        <w:rPr>
          <w:rFonts w:ascii="Georgia" w:hAnsi="Georgia"/>
          <w:i/>
          <w:iCs/>
          <w:color w:val="000000"/>
        </w:rPr>
        <w:t xml:space="preserve">atTa'lim. </w:t>
      </w:r>
      <w:r w:rsidRPr="00564926">
        <w:rPr>
          <w:rFonts w:ascii="Georgia" w:hAnsi="Georgia"/>
          <w:color w:val="000000"/>
        </w:rPr>
        <w:t xml:space="preserve">For a comprehensive meaning of education, </w:t>
      </w:r>
      <w:r w:rsidRPr="00564926">
        <w:rPr>
          <w:rFonts w:ascii="Georgia" w:hAnsi="Georgia"/>
          <w:i/>
          <w:iCs/>
          <w:color w:val="000000"/>
        </w:rPr>
        <w:t xml:space="preserve">al 'ilm </w:t>
      </w:r>
      <w:r w:rsidRPr="00564926">
        <w:rPr>
          <w:rFonts w:ascii="Georgia" w:hAnsi="Georgia"/>
          <w:color w:val="000000"/>
        </w:rPr>
        <w:t xml:space="preserve">on one hand, and </w:t>
      </w:r>
      <w:r w:rsidRPr="00564926">
        <w:rPr>
          <w:rFonts w:ascii="Georgia" w:hAnsi="Georgia"/>
          <w:i/>
          <w:iCs/>
          <w:color w:val="000000"/>
        </w:rPr>
        <w:t xml:space="preserve">at Tarbiyyah </w:t>
      </w:r>
      <w:r w:rsidRPr="00564926">
        <w:rPr>
          <w:rFonts w:ascii="Georgia" w:hAnsi="Georgia"/>
          <w:color w:val="000000"/>
        </w:rPr>
        <w:t xml:space="preserve">on the other, are inseparable from each other just as the flesh can not be separated from the bone. It is believed that learning without </w:t>
      </w:r>
      <w:r w:rsidRPr="00564926">
        <w:rPr>
          <w:rFonts w:ascii="Georgia" w:hAnsi="Georgia"/>
          <w:i/>
          <w:iCs/>
          <w:color w:val="000000"/>
        </w:rPr>
        <w:t xml:space="preserve">atTarbiyyah </w:t>
      </w:r>
      <w:r w:rsidRPr="00564926">
        <w:rPr>
          <w:rFonts w:ascii="Georgia" w:hAnsi="Georgia"/>
          <w:color w:val="000000"/>
        </w:rPr>
        <w:t>(moral discipline) is of no use whatsoever. According to the consensus reached by the first World Conference on Muslim Education in 1397AH (1977CE) at Makka, it was resolved that education in Islam;</w:t>
      </w:r>
    </w:p>
    <w:p w:rsidR="00616B06" w:rsidRPr="00564926" w:rsidRDefault="00616B06" w:rsidP="00616B06">
      <w:pPr>
        <w:shd w:val="clear" w:color="auto" w:fill="FFFFFF"/>
        <w:tabs>
          <w:tab w:val="left" w:pos="8100"/>
        </w:tabs>
        <w:autoSpaceDE w:val="0"/>
        <w:autoSpaceDN w:val="0"/>
        <w:adjustRightInd w:val="0"/>
        <w:ind w:right="540"/>
        <w:jc w:val="both"/>
        <w:rPr>
          <w:rFonts w:ascii="Georgia" w:hAnsi="Georgia"/>
          <w:i/>
          <w:iCs/>
          <w:color w:val="000000"/>
        </w:rPr>
      </w:pPr>
      <w:r w:rsidRPr="00564926">
        <w:rPr>
          <w:rFonts w:ascii="Georgia" w:hAnsi="Georgia"/>
          <w:i/>
          <w:iCs/>
          <w:color w:val="000000"/>
        </w:rPr>
        <w:t xml:space="preserve"> ‘should aim at balance growth of the total personality of   man through the training of man's spirit, intellect, rational self, feelings and  bodily  senses. The training imparted to a Muslim must be such that faith is infused in the whole  of his  personality  and creates in him an  emotional attachment  to Islam  and  enables  him to follow the Quran and Sunnah and be governed by  the  Islamic  system  of  values  willingly  and  joyfully so that he may proceed  to  therealization  of  his  status as Khalifatullah to whom Allah has promised the authority of the universe’.</w:t>
      </w:r>
      <w:r w:rsidRPr="00564926">
        <w:rPr>
          <w:rStyle w:val="FootnoteReference"/>
          <w:rFonts w:ascii="Georgia" w:hAnsi="Georgia"/>
          <w:i/>
          <w:iCs/>
          <w:color w:val="000000"/>
        </w:rPr>
        <w:footnoteReference w:id="22"/>
      </w:r>
    </w:p>
    <w:p w:rsidR="00616B06" w:rsidRPr="00564926" w:rsidRDefault="00616B06" w:rsidP="00616B06">
      <w:pPr>
        <w:shd w:val="clear" w:color="auto" w:fill="FFFFFF"/>
        <w:autoSpaceDE w:val="0"/>
        <w:autoSpaceDN w:val="0"/>
        <w:adjustRightInd w:val="0"/>
        <w:ind w:left="1440" w:right="1440" w:hanging="1440"/>
        <w:jc w:val="both"/>
        <w:rPr>
          <w:rFonts w:ascii="Georgia" w:hAnsi="Georgia"/>
          <w:color w:val="000000"/>
        </w:rPr>
      </w:pPr>
    </w:p>
    <w:p w:rsidR="00616B06" w:rsidRPr="00564926" w:rsidRDefault="00616B06" w:rsidP="00616B06">
      <w:pPr>
        <w:ind w:left="-630"/>
        <w:jc w:val="both"/>
        <w:rPr>
          <w:rFonts w:ascii="Georgia" w:hAnsi="Georgia"/>
        </w:rPr>
      </w:pPr>
      <w:r w:rsidRPr="00564926">
        <w:rPr>
          <w:rFonts w:ascii="Georgia" w:hAnsi="Georgia"/>
        </w:rPr>
        <w:t xml:space="preserve">   However, before making further analysis on the definition, aims and concept of Islamic education, it is worthwhile to examine briefly the views of the two fundamental sources of Islam, in relation to knowledge and education. The first Quranic revelation which instructed the Prophet </w:t>
      </w:r>
      <w:r w:rsidRPr="00564926">
        <w:rPr>
          <w:rFonts w:ascii="Georgia" w:hAnsi="Georgia"/>
          <w:color w:val="FF0000"/>
        </w:rPr>
        <w:sym w:font="AGA Arabesque" w:char="0072"/>
      </w:r>
      <w:r w:rsidRPr="00564926">
        <w:rPr>
          <w:rFonts w:ascii="Georgia" w:hAnsi="Georgia"/>
        </w:rPr>
        <w:t xml:space="preserve"> to read signifies that the first teaching of the Creator was to impart knowledge and understanding. The verse states; </w:t>
      </w:r>
    </w:p>
    <w:p w:rsidR="00616B06" w:rsidRPr="00564926" w:rsidRDefault="00616B06" w:rsidP="00616B06">
      <w:pPr>
        <w:ind w:left="-630"/>
        <w:jc w:val="both"/>
        <w:rPr>
          <w:rFonts w:ascii="Georgia" w:hAnsi="Georgia"/>
          <w:color w:val="000000"/>
        </w:rPr>
      </w:pPr>
      <w:r w:rsidRPr="00564926">
        <w:rPr>
          <w:rFonts w:ascii="Georgia" w:hAnsi="Georgia"/>
          <w:color w:val="000000"/>
        </w:rPr>
        <w:t>The distinctive feature of education in Islam should therefore be such that it distinguishes human being and makes him superior over the rest of the creation. It should also lead to the development of civilization. The civilization must not be the type which adopts only science and technology as its fundamental base and allows for moral degradation and spiritual crumble. The civilization should, as Tahan succinctly puts it, focused on building the righteous man with special emphasis on a balanced development of his spirit, reason and body altogether. By this unique approach he reaffirmed, it became the first and last of its kind throughout the history of human civilization.</w:t>
      </w:r>
      <w:r w:rsidRPr="00564926">
        <w:rPr>
          <w:rStyle w:val="FootnoteReference"/>
          <w:rFonts w:ascii="Georgia" w:hAnsi="Georgia"/>
          <w:color w:val="000000"/>
        </w:rPr>
        <w:footnoteReference w:id="23"/>
      </w:r>
    </w:p>
    <w:p w:rsidR="00616B06" w:rsidRPr="00564926" w:rsidRDefault="00616B06" w:rsidP="00616B06">
      <w:pPr>
        <w:ind w:left="-630"/>
        <w:jc w:val="both"/>
        <w:rPr>
          <w:rFonts w:ascii="Georgia" w:hAnsi="Georgia"/>
        </w:rPr>
      </w:pPr>
      <w:r w:rsidRPr="00564926">
        <w:rPr>
          <w:rFonts w:ascii="Georgia" w:hAnsi="Georgia"/>
          <w:color w:val="000000"/>
        </w:rPr>
        <w:t>The aims of Islamic education also should be to train and produce educated individuals with sound faith in Allahand those who can be beneficial to themselves and humanity in general. Any knowledge in Islam divorced from those stated objectives is considered to be partial knowledge and can even be described as a kind of new ignorance. Man has been ordained by Allah (SWT)to sacrifice his total life in both mundane and spiritual endeavours.</w:t>
      </w:r>
      <w:r w:rsidRPr="00564926">
        <w:rPr>
          <w:rStyle w:val="FootnoteReference"/>
          <w:rFonts w:ascii="Georgia" w:hAnsi="Georgia"/>
          <w:color w:val="000000"/>
        </w:rPr>
        <w:footnoteReference w:id="24"/>
      </w:r>
    </w:p>
    <w:p w:rsidR="00616B06" w:rsidRPr="00564926" w:rsidRDefault="00616B06" w:rsidP="00616B06">
      <w:pPr>
        <w:ind w:left="-630"/>
        <w:jc w:val="both"/>
        <w:rPr>
          <w:rFonts w:ascii="Georgia" w:hAnsi="Georgia"/>
        </w:rPr>
      </w:pPr>
      <w:r w:rsidRPr="00564926">
        <w:rPr>
          <w:rFonts w:ascii="Georgia" w:hAnsi="Georgia"/>
          <w:color w:val="000000"/>
        </w:rPr>
        <w:t>Consequently, Islamic education should insist that piety and faith must be clearly recognized in syllabuses as an aim to be systematically pursued. The test of any syllabus must be whether it brings the learner nearer to an understanding of Allah(SWT)and of the relation in which man stands to his creator. The subject the learner studies may be any one of the numerous subjects that universe teach; it could be something other than the convention. But in each case the test of its validity and effectiveness will be whether it fosters a deeperawareness of the Divine presence in the universe. If it does not, it should be clearlyunderstood to be at variance with the Islamic notion of education.</w:t>
      </w:r>
      <w:r w:rsidRPr="00564926">
        <w:rPr>
          <w:rStyle w:val="FootnoteReference"/>
          <w:rFonts w:ascii="Georgia" w:hAnsi="Georgia"/>
          <w:color w:val="000000"/>
        </w:rPr>
        <w:footnoteReference w:id="25"/>
      </w:r>
    </w:p>
    <w:p w:rsidR="00616B06" w:rsidRPr="00564926" w:rsidRDefault="00616B06" w:rsidP="00616B06">
      <w:pPr>
        <w:ind w:left="-630"/>
        <w:jc w:val="both"/>
        <w:rPr>
          <w:rFonts w:ascii="Georgia" w:hAnsi="Georgia"/>
          <w:color w:val="000000"/>
        </w:rPr>
      </w:pPr>
      <w:r w:rsidRPr="00564926">
        <w:rPr>
          <w:rFonts w:ascii="Georgia" w:hAnsi="Georgia"/>
          <w:color w:val="000000"/>
        </w:rPr>
        <w:t xml:space="preserve">Thus, the whole concepts, aims and objectives of Islamic education should not be geared towards developing individual faculties, obtaining mere certificates or making it a means of earning material life totally neglecting the spiritual dimension. Similarly, the educational objectives must not be lop-sided, concentrating on imparting mere skills and training of the </w:t>
      </w:r>
      <w:r w:rsidRPr="00564926">
        <w:rPr>
          <w:rFonts w:ascii="Georgia" w:hAnsi="Georgia"/>
          <w:color w:val="000000"/>
        </w:rPr>
        <w:lastRenderedPageBreak/>
        <w:t>hands. Beyond all these, the objectives should aim at training the mind and intuitive faculty. The fear of Allah</w:t>
      </w:r>
      <w:r w:rsidRPr="00564926">
        <w:rPr>
          <w:rFonts w:ascii="Georgia" w:hAnsi="Georgia"/>
          <w:i/>
          <w:iCs/>
          <w:color w:val="000000"/>
        </w:rPr>
        <w:t xml:space="preserve"> (al Taqwa), </w:t>
      </w:r>
      <w:r w:rsidRPr="00564926">
        <w:rPr>
          <w:rFonts w:ascii="Georgia" w:hAnsi="Georgia"/>
          <w:color w:val="000000"/>
        </w:rPr>
        <w:t xml:space="preserve">discipline, hard work and dedication should have to be inculcated in the learner. </w:t>
      </w:r>
    </w:p>
    <w:p w:rsidR="00616B06" w:rsidRPr="00564926" w:rsidRDefault="00616B06" w:rsidP="00616B06">
      <w:pPr>
        <w:ind w:left="-630"/>
        <w:jc w:val="both"/>
        <w:rPr>
          <w:rFonts w:ascii="Georgia" w:hAnsi="Georgia"/>
          <w:color w:val="000000"/>
        </w:rPr>
      </w:pPr>
      <w:r w:rsidRPr="00564926">
        <w:rPr>
          <w:rFonts w:ascii="Georgia" w:hAnsi="Georgia"/>
          <w:color w:val="000000"/>
        </w:rPr>
        <w:t xml:space="preserve">In other words, Islam can not reconcile itself with a view of education devoid of spiritual dimension and fails to place moral values at the very heart and centre of learning. Hence, </w:t>
      </w:r>
      <w:r w:rsidRPr="00564926">
        <w:rPr>
          <w:rFonts w:ascii="Georgia" w:hAnsi="Georgia"/>
          <w:i/>
          <w:iCs/>
          <w:color w:val="000000"/>
        </w:rPr>
        <w:t xml:space="preserve">Murabbi’s </w:t>
      </w:r>
      <w:r w:rsidRPr="00564926">
        <w:rPr>
          <w:rFonts w:ascii="Georgia" w:hAnsi="Georgia"/>
          <w:color w:val="000000"/>
        </w:rPr>
        <w:t>(teacher or guide's) responsibility covers looking after, taking care of, nourishing and helping a child to grow and flourish. Islamic education therefore means imparting knowledge in an Islamic framework and allowing people to live in surrender to Allah,something more comprehensive than mere religious instructions in faith and practices of Islam.</w:t>
      </w:r>
      <w:r w:rsidRPr="00564926">
        <w:rPr>
          <w:rStyle w:val="FootnoteReference"/>
          <w:rFonts w:ascii="Georgia" w:hAnsi="Georgia"/>
          <w:color w:val="000000"/>
        </w:rPr>
        <w:footnoteReference w:id="26"/>
      </w:r>
    </w:p>
    <w:p w:rsidR="00616B06" w:rsidRDefault="00616B06" w:rsidP="00616B06">
      <w:pPr>
        <w:ind w:left="-630"/>
        <w:jc w:val="both"/>
        <w:rPr>
          <w:rFonts w:ascii="Georgia" w:hAnsi="Georgia"/>
        </w:rPr>
      </w:pPr>
    </w:p>
    <w:p w:rsidR="00616B06" w:rsidRDefault="00616B06" w:rsidP="00616B06">
      <w:pPr>
        <w:ind w:left="-630"/>
        <w:jc w:val="both"/>
        <w:rPr>
          <w:rFonts w:ascii="Georgia" w:hAnsi="Georgia"/>
        </w:rPr>
      </w:pPr>
      <w:r w:rsidRPr="001C7A8D">
        <w:rPr>
          <w:rFonts w:ascii="Georgia" w:hAnsi="Georgia"/>
          <w:b/>
          <w:bCs/>
          <w:i/>
          <w:iCs/>
        </w:rPr>
        <w:t>Historical Backgrounds, Evolut</w:t>
      </w:r>
      <w:r>
        <w:rPr>
          <w:rFonts w:ascii="Georgia" w:hAnsi="Georgia"/>
          <w:b/>
          <w:bCs/>
          <w:i/>
          <w:iCs/>
        </w:rPr>
        <w:t>ion, Emergence and Development o</w:t>
      </w:r>
      <w:r w:rsidRPr="001C7A8D">
        <w:rPr>
          <w:rFonts w:ascii="Georgia" w:hAnsi="Georgia"/>
          <w:b/>
          <w:bCs/>
          <w:i/>
          <w:iCs/>
        </w:rPr>
        <w:t>f Women Islamic Education</w:t>
      </w:r>
      <w:r>
        <w:rPr>
          <w:rFonts w:ascii="Georgia" w:hAnsi="Georgia"/>
          <w:b/>
          <w:bCs/>
          <w:i/>
          <w:iCs/>
          <w:kern w:val="36"/>
        </w:rPr>
        <w:t>i</w:t>
      </w:r>
      <w:r w:rsidRPr="001C7A8D">
        <w:rPr>
          <w:rFonts w:ascii="Georgia" w:hAnsi="Georgia"/>
          <w:b/>
          <w:bCs/>
          <w:i/>
          <w:iCs/>
          <w:kern w:val="36"/>
        </w:rPr>
        <w:t>n Northern Nigeria</w:t>
      </w:r>
    </w:p>
    <w:p w:rsidR="00616B06" w:rsidRPr="00007BB2" w:rsidRDefault="00616B06" w:rsidP="00616B06">
      <w:pPr>
        <w:ind w:left="-630"/>
        <w:jc w:val="both"/>
        <w:rPr>
          <w:color w:val="7030A0"/>
          <w:sz w:val="26"/>
          <w:lang w:val="en-GB"/>
        </w:rPr>
      </w:pPr>
      <w:r w:rsidRPr="001C7A8D">
        <w:rPr>
          <w:rFonts w:ascii="Georgia" w:hAnsi="Georgia"/>
        </w:rPr>
        <w:t xml:space="preserve">From the </w:t>
      </w:r>
      <w:r>
        <w:rPr>
          <w:rFonts w:ascii="Georgia" w:hAnsi="Georgia"/>
        </w:rPr>
        <w:t>h</w:t>
      </w:r>
      <w:r w:rsidRPr="001C7A8D">
        <w:rPr>
          <w:rFonts w:ascii="Georgia" w:hAnsi="Georgia"/>
        </w:rPr>
        <w:t xml:space="preserve">istorical perspectives, </w:t>
      </w:r>
      <w:r>
        <w:rPr>
          <w:rFonts w:ascii="Georgia" w:hAnsi="Georgia"/>
        </w:rPr>
        <w:t xml:space="preserve">one can observe that </w:t>
      </w:r>
      <w:r w:rsidRPr="001C7A8D">
        <w:rPr>
          <w:rFonts w:ascii="Georgia" w:hAnsi="Georgia"/>
        </w:rPr>
        <w:t xml:space="preserve">some </w:t>
      </w:r>
      <w:r w:rsidRPr="001C7A8D">
        <w:rPr>
          <w:rFonts w:ascii="Georgia" w:hAnsi="Georgia" w:cs="Tahoma"/>
        </w:rPr>
        <w:t>West African celebrated scholars studied</w:t>
      </w:r>
      <w:r>
        <w:rPr>
          <w:rFonts w:ascii="Georgia" w:hAnsi="Georgia" w:cs="Tahoma"/>
        </w:rPr>
        <w:t>under</w:t>
      </w:r>
      <w:r w:rsidRPr="001C7A8D">
        <w:rPr>
          <w:rFonts w:ascii="Georgia" w:hAnsi="Georgia" w:cs="Tahoma"/>
        </w:rPr>
        <w:t xml:space="preserve">women. For example, </w:t>
      </w:r>
      <w:r>
        <w:rPr>
          <w:rFonts w:ascii="Georgia" w:hAnsi="Georgia"/>
        </w:rPr>
        <w:t>i</w:t>
      </w:r>
      <w:r w:rsidRPr="001C7A8D">
        <w:rPr>
          <w:rFonts w:ascii="Georgia" w:hAnsi="Georgia"/>
        </w:rPr>
        <w:t>n northern Nigeria here,</w:t>
      </w:r>
      <w:r w:rsidRPr="001C7A8D">
        <w:rPr>
          <w:rFonts w:ascii="Georgia" w:hAnsi="Georgia" w:cs="Tahoma"/>
        </w:rPr>
        <w:t xml:space="preserve"> Sheikhs Uthman and Abdullahi Ibn Fodiyowere partly taught by their mother who happened to be a scholar.</w:t>
      </w:r>
      <w:r w:rsidRPr="001C7A8D">
        <w:rPr>
          <w:rStyle w:val="EndnoteReference"/>
          <w:rFonts w:ascii="Georgia" w:hAnsi="Georgia" w:cs="Tahoma"/>
        </w:rPr>
        <w:endnoteReference w:id="6"/>
      </w:r>
      <w:r w:rsidRPr="001C7A8D">
        <w:rPr>
          <w:rFonts w:ascii="Georgia" w:hAnsi="Georgia"/>
        </w:rPr>
        <w:t xml:space="preserve">Nana Asma’u and Nana ‘A’isha the two daughters of Sheikh Uthman bin Fodio made an immense contribution in the field of knowledge by producing some Islamic literature.Nana Asma’u had to her credit many books of jurisprudence and poetry. A list of about 67 works was given. They organize lessons for other women both in the urban and rural areas. They guided and trained them various branches of knowledge. They also authored many works on </w:t>
      </w:r>
      <w:r w:rsidRPr="001C7A8D">
        <w:rPr>
          <w:rFonts w:ascii="Georgia" w:hAnsi="Georgia"/>
          <w:i/>
          <w:iCs/>
        </w:rPr>
        <w:t xml:space="preserve">Fiqh, Tauhid and Sirah. </w:t>
      </w:r>
      <w:r>
        <w:rPr>
          <w:rFonts w:ascii="Georgia" w:hAnsi="Georgia"/>
        </w:rPr>
        <w:t>It is important to emphasize that Sheikh ‘Uthman bin Fodio greatly emphasized the importance of women education in all his preaching sessions.</w:t>
      </w:r>
      <w:r w:rsidRPr="00F87923">
        <w:rPr>
          <w:rStyle w:val="FootnoteReference"/>
          <w:color w:val="7030A0"/>
          <w:sz w:val="26"/>
          <w:lang w:val="en-GB"/>
        </w:rPr>
        <w:footnoteReference w:id="27"/>
      </w:r>
    </w:p>
    <w:p w:rsidR="00616B06" w:rsidRPr="009B3CCC" w:rsidRDefault="00616B06" w:rsidP="00616B06">
      <w:pPr>
        <w:ind w:left="-630"/>
        <w:jc w:val="both"/>
        <w:rPr>
          <w:rFonts w:ascii="Georgia" w:hAnsi="Georgia"/>
        </w:rPr>
      </w:pPr>
      <w:r w:rsidRPr="00EC1AB7">
        <w:rPr>
          <w:rFonts w:ascii="Georgia" w:hAnsi="Georgia"/>
        </w:rPr>
        <w:t xml:space="preserve">Similarly, </w:t>
      </w:r>
      <w:r w:rsidRPr="0076662F">
        <w:rPr>
          <w:color w:val="000000"/>
          <w:sz w:val="26"/>
          <w:lang w:val="en-GB"/>
        </w:rPr>
        <w:t>Malama Maimuna bint Alkali Muhammad Bashir</w:t>
      </w:r>
      <w:r w:rsidRPr="00C07624">
        <w:rPr>
          <w:rStyle w:val="FootnoteReference"/>
          <w:color w:val="000000"/>
          <w:sz w:val="26"/>
          <w:lang w:val="en-GB"/>
        </w:rPr>
        <w:footnoteReference w:id="28"/>
      </w:r>
      <w:r w:rsidRPr="00A539CD">
        <w:rPr>
          <w:color w:val="000000"/>
          <w:sz w:val="26"/>
          <w:lang w:val="en-GB"/>
        </w:rPr>
        <w:t xml:space="preserve">who </w:t>
      </w:r>
      <w:r w:rsidRPr="009E76A8">
        <w:rPr>
          <w:color w:val="000000"/>
          <w:sz w:val="26"/>
          <w:lang w:val="en-GB"/>
        </w:rPr>
        <w:t>was</w:t>
      </w:r>
      <w:r>
        <w:rPr>
          <w:color w:val="000000"/>
          <w:sz w:val="26"/>
          <w:lang w:val="en-GB"/>
        </w:rPr>
        <w:t xml:space="preserve">popularly known as Muna, was one of the descendants of the famous seventeenth century scholar </w:t>
      </w:r>
      <w:r w:rsidRPr="0046479E">
        <w:rPr>
          <w:color w:val="000000"/>
          <w:sz w:val="26"/>
          <w:lang w:val="en-GB"/>
        </w:rPr>
        <w:t xml:space="preserve">Muhammad bin Masanih bin ‘Umar bin Muhammad bin ‘Abdullahi bin Nuh  </w:t>
      </w:r>
      <w:r w:rsidRPr="000526C2">
        <w:rPr>
          <w:color w:val="000000"/>
          <w:sz w:val="26"/>
          <w:lang w:val="en-GB"/>
        </w:rPr>
        <w:t>al Barnawi al Kashnawi</w:t>
      </w:r>
      <w:r>
        <w:rPr>
          <w:i/>
          <w:iCs/>
          <w:color w:val="000000"/>
          <w:sz w:val="26"/>
          <w:lang w:val="en-GB"/>
        </w:rPr>
        <w:t>.</w:t>
      </w:r>
      <w:r>
        <w:rPr>
          <w:color w:val="000000"/>
          <w:sz w:val="26"/>
          <w:lang w:val="en-GB"/>
        </w:rPr>
        <w:t xml:space="preserve"> She received her education from her father and later from her husband Mallam ‘Abdul Baqi. She later engaged herself in teaching and </w:t>
      </w:r>
      <w:r>
        <w:rPr>
          <w:i/>
          <w:iCs/>
          <w:color w:val="000000"/>
          <w:sz w:val="26"/>
          <w:lang w:val="en-GB"/>
        </w:rPr>
        <w:t xml:space="preserve">Da’awah </w:t>
      </w:r>
      <w:r>
        <w:rPr>
          <w:color w:val="000000"/>
          <w:sz w:val="26"/>
          <w:lang w:val="en-GB"/>
        </w:rPr>
        <w:t>activities amidst her women folk. She was also popular in providing incantations and amulates to women.</w:t>
      </w:r>
      <w:r>
        <w:rPr>
          <w:rStyle w:val="FootnoteReference"/>
          <w:color w:val="000000"/>
          <w:sz w:val="26"/>
          <w:lang w:val="en-GB"/>
        </w:rPr>
        <w:footnoteReference w:id="29"/>
      </w:r>
      <w:r>
        <w:rPr>
          <w:color w:val="000000"/>
          <w:sz w:val="26"/>
          <w:lang w:val="en-GB"/>
        </w:rPr>
        <w:t xml:space="preserve"> The Nizamiyyah Islamiyyah school she established in her house still exist under the supervision of her children. She produced literary works like </w:t>
      </w:r>
      <w:r>
        <w:rPr>
          <w:i/>
          <w:iCs/>
          <w:color w:val="000000"/>
          <w:sz w:val="26"/>
          <w:lang w:val="en-GB"/>
        </w:rPr>
        <w:t>Tas’hil al Fara’idh</w:t>
      </w:r>
      <w:r>
        <w:rPr>
          <w:color w:val="000000"/>
          <w:sz w:val="26"/>
          <w:lang w:val="en-GB"/>
        </w:rPr>
        <w:t xml:space="preserve">a commentary work on inheritance as provided by Abu Zaid </w:t>
      </w:r>
      <w:r w:rsidRPr="00B652D7">
        <w:rPr>
          <w:i/>
          <w:iCs/>
          <w:color w:val="000000"/>
          <w:sz w:val="26"/>
          <w:lang w:val="en-GB"/>
        </w:rPr>
        <w:t>al Qirawni</w:t>
      </w:r>
      <w:r>
        <w:rPr>
          <w:color w:val="000000"/>
          <w:sz w:val="26"/>
          <w:lang w:val="en-GB"/>
        </w:rPr>
        <w:t xml:space="preserve"> in his </w:t>
      </w:r>
      <w:r w:rsidRPr="00B652D7">
        <w:rPr>
          <w:i/>
          <w:iCs/>
          <w:color w:val="000000"/>
          <w:sz w:val="26"/>
          <w:lang w:val="en-GB"/>
        </w:rPr>
        <w:t>Risala</w:t>
      </w:r>
      <w:r>
        <w:rPr>
          <w:i/>
          <w:iCs/>
          <w:color w:val="000000"/>
          <w:sz w:val="26"/>
          <w:lang w:val="en-GB"/>
        </w:rPr>
        <w:t>h</w:t>
      </w:r>
      <w:r>
        <w:rPr>
          <w:color w:val="000000"/>
          <w:sz w:val="26"/>
          <w:lang w:val="en-GB"/>
        </w:rPr>
        <w:t xml:space="preserve">, </w:t>
      </w:r>
      <w:r>
        <w:rPr>
          <w:i/>
          <w:iCs/>
          <w:color w:val="000000"/>
          <w:sz w:val="26"/>
          <w:lang w:val="en-GB"/>
        </w:rPr>
        <w:t xml:space="preserve">Sharh al Mughni fi al Fiqh and </w:t>
      </w:r>
      <w:r w:rsidRPr="00AD713C">
        <w:rPr>
          <w:i/>
          <w:iCs/>
          <w:color w:val="000000"/>
          <w:sz w:val="26"/>
          <w:lang w:val="en-GB"/>
        </w:rPr>
        <w:t>Sharh Mukhtasar Khalil</w:t>
      </w:r>
      <w:r>
        <w:rPr>
          <w:color w:val="000000"/>
          <w:sz w:val="26"/>
          <w:lang w:val="en-GB"/>
        </w:rPr>
        <w:t>.</w:t>
      </w:r>
      <w:r>
        <w:rPr>
          <w:rStyle w:val="FootnoteReference"/>
          <w:color w:val="000000"/>
          <w:sz w:val="26"/>
          <w:lang w:val="en-GB"/>
        </w:rPr>
        <w:footnoteReference w:id="30"/>
      </w:r>
    </w:p>
    <w:p w:rsidR="00616B06" w:rsidRDefault="00616B06" w:rsidP="00616B06">
      <w:pPr>
        <w:ind w:left="-630"/>
        <w:jc w:val="both"/>
        <w:rPr>
          <w:rFonts w:ascii="Georgia" w:hAnsi="Georgia"/>
        </w:rPr>
      </w:pPr>
      <w:r>
        <w:rPr>
          <w:rFonts w:ascii="Georgia" w:hAnsi="Georgia"/>
        </w:rPr>
        <w:t>Some years after the period of the Jihad of ‘Uthman bin Fodio when Hausaland almost started reverting to its former position of ignorance and superstitions.W</w:t>
      </w:r>
      <w:r w:rsidRPr="001C7A8D">
        <w:rPr>
          <w:rFonts w:ascii="Georgia" w:hAnsi="Georgia"/>
        </w:rPr>
        <w:t xml:space="preserve">omen were not </w:t>
      </w:r>
      <w:r>
        <w:rPr>
          <w:rFonts w:ascii="Georgia" w:hAnsi="Georgia"/>
        </w:rPr>
        <w:t xml:space="preserve">generally </w:t>
      </w:r>
      <w:r w:rsidRPr="001C7A8D">
        <w:rPr>
          <w:rFonts w:ascii="Georgia" w:hAnsi="Georgia"/>
        </w:rPr>
        <w:t>accorded their due rights to education and other rights provided for them in the</w:t>
      </w:r>
      <w:r>
        <w:rPr>
          <w:rFonts w:ascii="Georgia" w:hAnsi="Georgia"/>
        </w:rPr>
        <w:t xml:space="preserve"> Glorious </w:t>
      </w:r>
      <w:r>
        <w:rPr>
          <w:rFonts w:ascii="Georgia" w:hAnsi="Georgia"/>
        </w:rPr>
        <w:lastRenderedPageBreak/>
        <w:t xml:space="preserve">Qur'an and the Sunnah. But, within few decades ago,northern Nigerian Muslims started witnessing </w:t>
      </w:r>
      <w:r w:rsidRPr="001C7A8D">
        <w:rPr>
          <w:rFonts w:ascii="Georgia" w:hAnsi="Georgia"/>
        </w:rPr>
        <w:t xml:space="preserve">great </w:t>
      </w:r>
      <w:r w:rsidRPr="001C7A8D">
        <w:rPr>
          <w:rFonts w:ascii="Georgia" w:hAnsi="Georgia" w:cs="DMBPJO+TimesNewRoman"/>
        </w:rPr>
        <w:t>transformation of women Islamic education and the proliferation of new Islamic schools</w:t>
      </w:r>
      <w:r>
        <w:rPr>
          <w:rStyle w:val="FootnoteReference"/>
          <w:rFonts w:ascii="Georgia" w:hAnsi="Georgia" w:cs="DMBPJO+TimesNewRoman"/>
        </w:rPr>
        <w:footnoteReference w:id="31"/>
      </w:r>
      <w:r w:rsidRPr="001C7A8D">
        <w:rPr>
          <w:rFonts w:ascii="Georgia" w:hAnsi="Georgia"/>
        </w:rPr>
        <w:t>. The high level in which women were totally confined to their houses (</w:t>
      </w:r>
      <w:r w:rsidRPr="001C7A8D">
        <w:rPr>
          <w:rFonts w:ascii="Georgia" w:hAnsi="Georgia"/>
          <w:i/>
          <w:iCs/>
        </w:rPr>
        <w:t>Purdah</w:t>
      </w:r>
      <w:r w:rsidRPr="001C7A8D">
        <w:rPr>
          <w:rFonts w:ascii="Georgia" w:hAnsi="Georgia"/>
        </w:rPr>
        <w:t>/</w:t>
      </w:r>
      <w:r w:rsidRPr="001C7A8D">
        <w:rPr>
          <w:rFonts w:ascii="Georgia" w:hAnsi="Georgia"/>
          <w:i/>
          <w:iCs/>
        </w:rPr>
        <w:t>Kulle</w:t>
      </w:r>
      <w:r w:rsidRPr="001C7A8D">
        <w:rPr>
          <w:rFonts w:ascii="Georgia" w:hAnsi="Georgia"/>
        </w:rPr>
        <w:t xml:space="preserve">) or where others were exposed to various abuses, ranging from rape, abandonment, sexual harassment and hawking is considerably reducing. Observations have shown that in spite of the sob story of the dull condition of women in the north, quite many have shone brightly in the tunnel and shown the way to greater things. Women now climb the ladder of success in Islamic knowledge, Da’awah, the academia, health work and other segments. </w:t>
      </w:r>
    </w:p>
    <w:p w:rsidR="00616B06" w:rsidRDefault="00616B06" w:rsidP="00616B06">
      <w:pPr>
        <w:ind w:left="-630"/>
        <w:jc w:val="both"/>
        <w:rPr>
          <w:rFonts w:ascii="Georgia" w:hAnsi="Georgia"/>
        </w:rPr>
      </w:pPr>
      <w:r w:rsidRPr="001C7A8D">
        <w:rPr>
          <w:rFonts w:ascii="Georgia" w:hAnsi="Georgia"/>
        </w:rPr>
        <w:t xml:space="preserve">There are now many established schools and </w:t>
      </w:r>
      <w:r w:rsidRPr="001C7A8D">
        <w:rPr>
          <w:rFonts w:ascii="Georgia" w:hAnsi="Georgia" w:cs="Tahoma"/>
        </w:rPr>
        <w:t xml:space="preserve">centres in various communities in the north to ensure that women in the society are enlightened and trained on the basic needs and necessities of life. This efforts led to the production of some </w:t>
      </w:r>
      <w:r w:rsidRPr="001C7A8D">
        <w:rPr>
          <w:rFonts w:ascii="Georgia" w:hAnsi="Georgia"/>
        </w:rPr>
        <w:t>contemporary women who made a mark in the society in some respects.These schools started to emerge in form of adult literacy classes in Arabic and Qur’anic studies in most parts of the north. It started aroud the late seventies and rapidly developed during the eighties.</w:t>
      </w:r>
    </w:p>
    <w:p w:rsidR="00616B06" w:rsidRPr="00D03580" w:rsidRDefault="00616B06" w:rsidP="00616B06">
      <w:pPr>
        <w:ind w:left="-630"/>
        <w:jc w:val="both"/>
        <w:rPr>
          <w:sz w:val="26"/>
          <w:lang w:val="en-GB"/>
        </w:rPr>
      </w:pPr>
      <w:r w:rsidRPr="00D03580">
        <w:rPr>
          <w:sz w:val="26"/>
          <w:lang w:val="en-GB"/>
        </w:rPr>
        <w:t xml:space="preserve">Thus, within the previous decades, northern Nigeria had witnessed a period of vigorous endeavour in the search of Islamic education by both the young and old as well as men and women. Through what could be termed as silent Islamic resurgence and Muslim reform movement initiated by the </w:t>
      </w:r>
      <w:r w:rsidRPr="00D03580">
        <w:rPr>
          <w:i/>
          <w:iCs/>
          <w:sz w:val="26"/>
          <w:lang w:val="en-GB"/>
        </w:rPr>
        <w:t>Jama’tu Izalatil Bid’ah wa Iqamat al Sunnah</w:t>
      </w:r>
      <w:r w:rsidRPr="00D03580">
        <w:rPr>
          <w:sz w:val="26"/>
          <w:lang w:val="en-GB"/>
        </w:rPr>
        <w:t xml:space="preserve"> and later upheld and adopted by other </w:t>
      </w:r>
      <w:r w:rsidRPr="00D03580">
        <w:rPr>
          <w:i/>
          <w:iCs/>
          <w:sz w:val="26"/>
          <w:lang w:val="en-GB"/>
        </w:rPr>
        <w:t>Da’awah</w:t>
      </w:r>
      <w:r w:rsidRPr="00D03580">
        <w:rPr>
          <w:sz w:val="26"/>
          <w:lang w:val="en-GB"/>
        </w:rPr>
        <w:t xml:space="preserve"> groups like the </w:t>
      </w:r>
      <w:r w:rsidRPr="00D03580">
        <w:rPr>
          <w:i/>
          <w:iCs/>
          <w:sz w:val="26"/>
          <w:lang w:val="en-GB"/>
        </w:rPr>
        <w:t>Fityan al Islam</w:t>
      </w:r>
      <w:r w:rsidRPr="00D03580">
        <w:rPr>
          <w:sz w:val="26"/>
          <w:lang w:val="en-GB"/>
        </w:rPr>
        <w:t xml:space="preserve">, </w:t>
      </w:r>
      <w:r w:rsidRPr="00D03580">
        <w:rPr>
          <w:i/>
          <w:iCs/>
          <w:sz w:val="26"/>
          <w:lang w:val="en-GB"/>
        </w:rPr>
        <w:t>Jama’atu Nasr al Islam, Muslim Students’ Society, FOMWAN</w:t>
      </w:r>
      <w:r w:rsidRPr="00D03580">
        <w:rPr>
          <w:sz w:val="26"/>
          <w:lang w:val="en-GB"/>
        </w:rPr>
        <w:t xml:space="preserve"> and others, Islamic education was greatly expanded. The efforts made by these and other organisations has indeed revolutionized the system of education and brought about Islamic consciousness in the Muslim youths and adults not only in northern Nigeria but the whole country. It has also brought some developments and changes not only in the spiritual aspect but also in the social, political and intellectual arena.</w:t>
      </w:r>
    </w:p>
    <w:p w:rsidR="00616B06" w:rsidRPr="00D03580" w:rsidRDefault="00616B06" w:rsidP="00616B06">
      <w:pPr>
        <w:ind w:left="-630"/>
        <w:jc w:val="both"/>
        <w:rPr>
          <w:sz w:val="26"/>
          <w:lang w:val="en-GB"/>
        </w:rPr>
      </w:pPr>
      <w:r w:rsidRPr="00D03580">
        <w:rPr>
          <w:sz w:val="26"/>
          <w:lang w:val="en-GB"/>
        </w:rPr>
        <w:t>Many Islamiyyah schools are now to be found in almost all nooks and corners of the north beginning from the early quarter of 1970. Most of these schools were established and run by individuals, Da’awah and Muslim communities and organizations.</w:t>
      </w:r>
      <w:r w:rsidRPr="00D03580">
        <w:rPr>
          <w:rFonts w:ascii="Georgia" w:hAnsi="Georgia"/>
        </w:rPr>
        <w:t xml:space="preserve"> There was rapid and overwhelming expansion of such schools in allthe nooks and crannies of the north.</w:t>
      </w:r>
      <w:r w:rsidRPr="00D03580">
        <w:rPr>
          <w:sz w:val="26"/>
          <w:lang w:val="en-GB"/>
        </w:rPr>
        <w:t>Observations have shown that Muslim women in the north are now very much committed to the search of Islamic education just like their male counter parts. Their Islamiyyah classes compared to those of men have been more consistent and more enduring.</w:t>
      </w:r>
      <w:r w:rsidRPr="00D03580">
        <w:rPr>
          <w:rStyle w:val="FootnoteReference"/>
          <w:sz w:val="26"/>
          <w:lang w:val="en-GB"/>
        </w:rPr>
        <w:footnoteReference w:id="32"/>
      </w:r>
      <w:r w:rsidRPr="00D03580">
        <w:rPr>
          <w:sz w:val="26"/>
          <w:lang w:val="en-GB"/>
        </w:rPr>
        <w:t xml:space="preserve"> This notwithstanding the earlier resistance and conflict which existed between the initiators and vanguards of the women Islamiyyah schools on the one hand, and the opposers of the system on the other, although they later succumbed to it and followed suit. </w:t>
      </w:r>
    </w:p>
    <w:p w:rsidR="00616B06" w:rsidRPr="00D03580" w:rsidRDefault="00616B06" w:rsidP="00616B06">
      <w:pPr>
        <w:ind w:left="-630"/>
        <w:jc w:val="both"/>
        <w:rPr>
          <w:rFonts w:ascii="Georgia" w:hAnsi="Georgia"/>
        </w:rPr>
      </w:pPr>
      <w:r w:rsidRPr="00D03580">
        <w:rPr>
          <w:sz w:val="26"/>
          <w:lang w:val="en-GB"/>
        </w:rPr>
        <w:t xml:space="preserve">    Indeed, the emergence of these types of Islamiyyah schools in the north has continued to serve as a significant driving force in the entire process of renewed Muslim activities and Islamic renaissance in the area.  However, the nature and characteristics of these Islamiyyah schools vary from one school to another. Most of them are closely traditional and not properly organized. They have no time and age limit for admission and graduation, no unified </w:t>
      </w:r>
      <w:r w:rsidRPr="00D03580">
        <w:rPr>
          <w:sz w:val="26"/>
          <w:lang w:val="en-GB"/>
        </w:rPr>
        <w:lastRenderedPageBreak/>
        <w:t xml:space="preserve">curriculum and in most cases, the academic programmes, the subjects taught and the stipulated number of lessons vary from one school to the other. In addition such schools have not incorporated any secular subject in their curriculum. Most of these Islamiyyah schools are usually named after the Prophet’s companions, reknowned Muslim scholars, their proprietors or, in some cases, bear the names of the various Islamic organisations to which they belong. </w:t>
      </w:r>
    </w:p>
    <w:p w:rsidR="00616B06" w:rsidRPr="00D03580" w:rsidRDefault="00616B06" w:rsidP="00616B06">
      <w:pPr>
        <w:ind w:left="-630"/>
        <w:jc w:val="both"/>
        <w:rPr>
          <w:rFonts w:ascii="Georgia" w:hAnsi="Georgia"/>
        </w:rPr>
      </w:pPr>
      <w:r w:rsidRPr="00D03580">
        <w:rPr>
          <w:sz w:val="26"/>
          <w:lang w:val="en-GB"/>
        </w:rPr>
        <w:t xml:space="preserve">Generally, the Islamiyyah school system emerged as part of recent development of Islamic education in Nigeria. This modernized system of Islamic education came into being, through the course of the years, as a means of revitalising the local Quranic school system whose curriculum was basically restricted to teach the art of reading and memorization of the Quran.  </w:t>
      </w:r>
    </w:p>
    <w:p w:rsidR="00616B06" w:rsidRPr="00D03580" w:rsidRDefault="00616B06" w:rsidP="00616B06">
      <w:pPr>
        <w:ind w:left="-630"/>
        <w:jc w:val="both"/>
        <w:rPr>
          <w:sz w:val="26"/>
          <w:lang w:val="en-GB"/>
        </w:rPr>
      </w:pPr>
      <w:r w:rsidRPr="00D03580">
        <w:rPr>
          <w:sz w:val="26"/>
          <w:lang w:val="en-GB"/>
        </w:rPr>
        <w:t xml:space="preserve"> In addition, some concerned Muslim scholars insisted on having a more structured system of Islamic education with a broader syllabus which can also contain some of the main subjects taught in the conventional primary schools so as to meet the challenges of the daily life. As such the curriculum of these Islamiyyah schools, particularly the Model Islamiyyah schools resemble those of government schools which have regular classrooms, textbooks, examinations, formal administration and other subjects such as English, Mathematics, General Science and Social studies.</w:t>
      </w:r>
      <w:r w:rsidRPr="00D03580">
        <w:rPr>
          <w:rStyle w:val="FootnoteReference"/>
          <w:sz w:val="26"/>
          <w:lang w:val="en-GB"/>
        </w:rPr>
        <w:footnoteReference w:id="33"/>
      </w:r>
    </w:p>
    <w:p w:rsidR="00616B06" w:rsidRPr="001C7A8D" w:rsidRDefault="00616B06" w:rsidP="00616B06">
      <w:pPr>
        <w:ind w:left="-630"/>
        <w:jc w:val="both"/>
        <w:rPr>
          <w:rFonts w:ascii="Georgia" w:hAnsi="Georgia"/>
        </w:rPr>
      </w:pPr>
      <w:r w:rsidRPr="001C7A8D">
        <w:rPr>
          <w:rFonts w:ascii="Georgia" w:hAnsi="Georgia"/>
        </w:rPr>
        <w:t>Alongside the</w:t>
      </w:r>
      <w:r>
        <w:rPr>
          <w:rFonts w:ascii="Georgia" w:hAnsi="Georgia"/>
        </w:rPr>
        <w:t>se</w:t>
      </w:r>
      <w:r w:rsidRPr="001C7A8D">
        <w:rPr>
          <w:rFonts w:ascii="Georgia" w:hAnsi="Georgia"/>
        </w:rPr>
        <w:t xml:space="preserve"> Islamiyyah schools which train both male and female children, adult women Islamiyyah schools are now established and conducted mainly by various individual </w:t>
      </w:r>
      <w:r w:rsidRPr="001C7A8D">
        <w:rPr>
          <w:rFonts w:ascii="Georgia" w:hAnsi="Georgia" w:cs="DMBPJO+TimesNewRoman"/>
        </w:rPr>
        <w:t>private initiatives</w:t>
      </w:r>
      <w:r w:rsidRPr="001C7A8D">
        <w:rPr>
          <w:rFonts w:ascii="Georgia" w:hAnsi="Georgia"/>
        </w:rPr>
        <w:t xml:space="preserve"> and philanthropist. This </w:t>
      </w:r>
      <w:r w:rsidRPr="001C7A8D">
        <w:rPr>
          <w:rFonts w:ascii="Georgia" w:hAnsi="Georgia" w:cs="DMBPJO+TimesNewRoman"/>
        </w:rPr>
        <w:t xml:space="preserve">reflect a global trend of transformation of Islamic education generally.Under the current dispensation, the new Islamic schools adopt the organizational format of modern public school system. Some of these schools where both males and females were enrolled operate </w:t>
      </w:r>
      <w:r w:rsidRPr="001C7A8D">
        <w:rPr>
          <w:rFonts w:ascii="Georgia" w:hAnsi="Georgia" w:cs="DMCADO+TimesNewRoman,Italic"/>
        </w:rPr>
        <w:t>modern</w:t>
      </w:r>
      <w:r w:rsidRPr="001C7A8D">
        <w:rPr>
          <w:rFonts w:ascii="Georgia" w:hAnsi="Georgia" w:cs="DMBPJO+TimesNewRoman"/>
        </w:rPr>
        <w:t xml:space="preserve">curriculum provide six years of training in classical Arabic and Islamic education. That indeed led to the establishment of many schools like </w:t>
      </w:r>
      <w:r w:rsidRPr="001C7A8D">
        <w:rPr>
          <w:rFonts w:ascii="Georgia" w:hAnsi="Georgia" w:cs="DMCADO+TimesNewRoman,Italic"/>
        </w:rPr>
        <w:t xml:space="preserve">School for Arabic Studies </w:t>
      </w:r>
      <w:r w:rsidRPr="001C7A8D">
        <w:rPr>
          <w:rFonts w:ascii="Georgia" w:hAnsi="Georgia" w:cs="DMBPJO+TimesNewRoman"/>
        </w:rPr>
        <w:t xml:space="preserve">(SAS), Kano. </w:t>
      </w:r>
    </w:p>
    <w:p w:rsidR="00616B06" w:rsidRDefault="00616B06" w:rsidP="00616B06">
      <w:pPr>
        <w:ind w:left="-630"/>
        <w:jc w:val="both"/>
        <w:rPr>
          <w:rFonts w:ascii="Georgia" w:hAnsi="Georgia" w:cs="DMBPJO+TimesNewRoman"/>
        </w:rPr>
      </w:pPr>
      <w:r w:rsidRPr="001C7A8D">
        <w:rPr>
          <w:rFonts w:ascii="Georgia" w:hAnsi="Georgia" w:cs="DMBPJO+TimesNewRoman"/>
        </w:rPr>
        <w:t xml:space="preserve">Similar schools have been established in many other parts of the north likethe former Sokoto </w:t>
      </w:r>
      <w:r w:rsidRPr="001C7A8D">
        <w:rPr>
          <w:rFonts w:ascii="Georgia" w:hAnsi="Georgia" w:cs="DMCADO+TimesNewRoman,Italic"/>
        </w:rPr>
        <w:t xml:space="preserve">Arabic Teachers’ College, </w:t>
      </w:r>
      <w:r w:rsidRPr="001C7A8D">
        <w:rPr>
          <w:rFonts w:ascii="Georgia" w:hAnsi="Georgia" w:cs="DMBPJO+TimesNewRoman"/>
        </w:rPr>
        <w:t>established in 1963, and many other Arabic and Islamic studies Colleges in places like Katsina, Gombe, Maiduguri, Hadejia</w:t>
      </w:r>
      <w:r>
        <w:rPr>
          <w:rFonts w:ascii="Georgia" w:hAnsi="Georgia" w:cs="DMBPJO+TimesNewRoman"/>
        </w:rPr>
        <w:t>, Zamfara</w:t>
      </w:r>
      <w:r w:rsidRPr="001C7A8D">
        <w:rPr>
          <w:rFonts w:ascii="Georgia" w:hAnsi="Georgia" w:cs="DMBPJO+TimesNewRoman"/>
        </w:rPr>
        <w:t xml:space="preserve"> since the last four decades. These types of school are proliferated every where in the north. Some of them are officially affiliated with the National Board of Arabic and Islamic Studies (NBAIS)</w:t>
      </w:r>
      <w:r>
        <w:rPr>
          <w:rFonts w:ascii="Georgia" w:hAnsi="Georgia" w:cs="DMBPJO+TimesNewRoman"/>
        </w:rPr>
        <w:t>, Ahmadu Bello University, Zaria</w:t>
      </w:r>
      <w:r w:rsidRPr="001C7A8D">
        <w:rPr>
          <w:rFonts w:ascii="Georgia" w:hAnsi="Georgia" w:cs="DMBPJO+TimesNewRoman"/>
        </w:rPr>
        <w:t xml:space="preserve">. </w:t>
      </w:r>
    </w:p>
    <w:p w:rsidR="00616B06" w:rsidRDefault="00616B06" w:rsidP="00616B06">
      <w:pPr>
        <w:ind w:left="-630"/>
        <w:jc w:val="both"/>
        <w:rPr>
          <w:sz w:val="26"/>
          <w:lang w:val="en-GB"/>
        </w:rPr>
      </w:pPr>
      <w:r w:rsidRPr="000914DF">
        <w:rPr>
          <w:sz w:val="26"/>
          <w:lang w:val="en-GB"/>
        </w:rPr>
        <w:t>It is pertinent to however observe as highlighted by Bilkisu that, the cause of Muslim girls education has not been helped by the way it has been conducted by the governments without emphasis on religious teachings and disregard of Islamic moral norms and values in dress and behaviour. The result of all this has been a state of confusion in the educated Muslim girl about her role in society and her duty as a Muslim, torn between traditional cultural practices and western ideas of women’s freedom.</w:t>
      </w:r>
      <w:r w:rsidRPr="000914DF">
        <w:rPr>
          <w:rStyle w:val="FootnoteReference"/>
          <w:sz w:val="26"/>
          <w:lang w:val="en-GB"/>
        </w:rPr>
        <w:footnoteReference w:id="34"/>
      </w:r>
    </w:p>
    <w:p w:rsidR="00616B06" w:rsidRPr="00D03580" w:rsidRDefault="00616B06" w:rsidP="00616B06">
      <w:pPr>
        <w:ind w:left="-630"/>
        <w:jc w:val="both"/>
        <w:rPr>
          <w:sz w:val="16"/>
          <w:szCs w:val="16"/>
          <w:lang w:val="en-GB"/>
        </w:rPr>
      </w:pPr>
    </w:p>
    <w:p w:rsidR="00616B06" w:rsidRDefault="00616B06" w:rsidP="00616B06">
      <w:pPr>
        <w:ind w:left="-630"/>
        <w:jc w:val="both"/>
        <w:rPr>
          <w:sz w:val="26"/>
          <w:lang w:val="en-GB"/>
        </w:rPr>
      </w:pPr>
      <w:r>
        <w:rPr>
          <w:rFonts w:ascii="Georgia" w:eastAsiaTheme="minorHAnsi" w:hAnsi="Georgia" w:cs="Candara"/>
          <w:b/>
          <w:bCs/>
          <w:color w:val="000000"/>
        </w:rPr>
        <w:t>Conclusion</w:t>
      </w:r>
      <w:r w:rsidRPr="00D02A73">
        <w:rPr>
          <w:rFonts w:ascii="Georgia" w:eastAsiaTheme="minorHAnsi" w:hAnsi="Georgia" w:cs="Candara"/>
          <w:b/>
          <w:bCs/>
          <w:color w:val="000000"/>
        </w:rPr>
        <w:t xml:space="preserve"> and Recommendations</w:t>
      </w:r>
    </w:p>
    <w:p w:rsidR="00616B06" w:rsidRPr="00564926" w:rsidRDefault="00616B06" w:rsidP="00616B06">
      <w:pPr>
        <w:ind w:left="-630"/>
        <w:jc w:val="both"/>
        <w:rPr>
          <w:sz w:val="26"/>
          <w:lang w:val="en-GB"/>
        </w:rPr>
      </w:pPr>
      <w:r w:rsidRPr="00564926">
        <w:rPr>
          <w:rFonts w:ascii="Georgia" w:eastAsiaTheme="minorHAnsi" w:hAnsi="Georgia" w:cs="Candara"/>
        </w:rPr>
        <w:t xml:space="preserve">In light of the above discussion on </w:t>
      </w:r>
      <w:r w:rsidRPr="00564926">
        <w:rPr>
          <w:rFonts w:ascii="Georgia" w:hAnsi="Georgia"/>
          <w:kern w:val="36"/>
        </w:rPr>
        <w:t xml:space="preserve">the glimpse at the development of women Islamic education in northern Nigeria, the paper presented a brief on </w:t>
      </w:r>
      <w:r w:rsidRPr="00564926">
        <w:rPr>
          <w:rFonts w:ascii="Georgia" w:hAnsi="Georgia" w:cs="ZJansonText-Roman"/>
        </w:rPr>
        <w:t xml:space="preserve">how women actually participated and contributed to the progress and development of education generally can also be found in the early history of Islamic civilization. It discussed </w:t>
      </w:r>
      <w:r w:rsidRPr="00564926">
        <w:rPr>
          <w:rFonts w:ascii="Georgia" w:hAnsi="Georgia"/>
        </w:rPr>
        <w:t>the historical backgrounds, evolution emergence and development of women Islamic education</w:t>
      </w:r>
      <w:r w:rsidRPr="00564926">
        <w:rPr>
          <w:rFonts w:ascii="Georgia" w:hAnsi="Georgia"/>
          <w:kern w:val="36"/>
        </w:rPr>
        <w:t xml:space="preserve"> in Northern Nigeria and the development and challenges so far achieved in the 21</w:t>
      </w:r>
      <w:r w:rsidRPr="00564926">
        <w:rPr>
          <w:rFonts w:ascii="Georgia" w:hAnsi="Georgia"/>
          <w:kern w:val="36"/>
          <w:vertAlign w:val="superscript"/>
        </w:rPr>
        <w:t>st</w:t>
      </w:r>
      <w:r w:rsidRPr="00564926">
        <w:rPr>
          <w:rFonts w:ascii="Georgia" w:hAnsi="Georgia"/>
          <w:kern w:val="36"/>
        </w:rPr>
        <w:t xml:space="preserve"> century. In view of this, </w:t>
      </w:r>
      <w:r w:rsidRPr="00564926">
        <w:rPr>
          <w:rFonts w:ascii="Georgia" w:eastAsiaTheme="minorHAnsi" w:hAnsi="Georgia" w:cs="Candara"/>
        </w:rPr>
        <w:t xml:space="preserve">the writer </w:t>
      </w:r>
      <w:r w:rsidRPr="00564926">
        <w:rPr>
          <w:rFonts w:ascii="Georgia" w:eastAsiaTheme="minorHAnsi" w:hAnsi="Georgia" w:cs="Candara"/>
        </w:rPr>
        <w:lastRenderedPageBreak/>
        <w:t>recommends that people should be sensitized to the community and social benefits of educating girls. There is also need for community participation in the planning and management of education so that those who had hitherto being gender biased would see the need for the education of the female and will work towards such.The media should be employed to inform and instruct on the importance of the female child education. Similarly, programmes that promote femalechild education should be promoted in all our communities. Each educated individual should spread the message of the female – child education and raise awareness on these issues.</w:t>
      </w:r>
      <w:r>
        <w:rPr>
          <w:rFonts w:ascii="Georgia" w:eastAsiaTheme="minorHAnsi" w:hAnsi="Georgia" w:cs="Candara"/>
        </w:rPr>
        <w:t xml:space="preserve"> More forums should be provided where social problems of Muslim women can be discussed. Such forums can be used to educate and enlighten Muslim women on national and international issues affecting women in particular and Muslim Ummah in general.</w:t>
      </w:r>
    </w:p>
    <w:p w:rsidR="00616B06" w:rsidRDefault="00616B06" w:rsidP="00616B06">
      <w:pPr>
        <w:ind w:left="-630"/>
        <w:jc w:val="both"/>
        <w:rPr>
          <w:sz w:val="16"/>
          <w:szCs w:val="16"/>
          <w:lang w:val="en-GB"/>
        </w:rPr>
      </w:pPr>
    </w:p>
    <w:p w:rsidR="00616B06" w:rsidRDefault="00616B06" w:rsidP="00616B06">
      <w:pPr>
        <w:autoSpaceDE w:val="0"/>
        <w:autoSpaceDN w:val="0"/>
        <w:adjustRightInd w:val="0"/>
        <w:jc w:val="center"/>
        <w:rPr>
          <w:rFonts w:ascii="Georgia" w:eastAsiaTheme="minorHAnsi" w:hAnsi="Georgia" w:cs="Candara"/>
          <w:b/>
          <w:bCs/>
          <w:color w:val="000000"/>
          <w:sz w:val="28"/>
          <w:szCs w:val="28"/>
        </w:rPr>
      </w:pPr>
    </w:p>
    <w:p w:rsidR="00616B06" w:rsidRDefault="00616B06" w:rsidP="00616B06">
      <w:pPr>
        <w:autoSpaceDE w:val="0"/>
        <w:autoSpaceDN w:val="0"/>
        <w:adjustRightInd w:val="0"/>
        <w:jc w:val="center"/>
        <w:rPr>
          <w:rFonts w:ascii="Georgia" w:eastAsiaTheme="minorHAnsi" w:hAnsi="Georgia" w:cs="Candara"/>
          <w:b/>
          <w:bCs/>
          <w:color w:val="000000"/>
          <w:sz w:val="28"/>
          <w:szCs w:val="28"/>
        </w:rPr>
      </w:pPr>
    </w:p>
    <w:p w:rsidR="00616B06" w:rsidRDefault="00616B06" w:rsidP="00616B06">
      <w:pPr>
        <w:autoSpaceDE w:val="0"/>
        <w:autoSpaceDN w:val="0"/>
        <w:adjustRightInd w:val="0"/>
        <w:jc w:val="center"/>
        <w:rPr>
          <w:rFonts w:ascii="Georgia" w:eastAsiaTheme="minorHAnsi" w:hAnsi="Georgia" w:cs="Candara"/>
          <w:b/>
          <w:bCs/>
          <w:color w:val="000000"/>
          <w:sz w:val="28"/>
          <w:szCs w:val="28"/>
        </w:rPr>
      </w:pPr>
    </w:p>
    <w:p w:rsidR="00616B06" w:rsidRDefault="00616B06" w:rsidP="00616B06">
      <w:pPr>
        <w:autoSpaceDE w:val="0"/>
        <w:autoSpaceDN w:val="0"/>
        <w:adjustRightInd w:val="0"/>
        <w:jc w:val="center"/>
        <w:rPr>
          <w:rFonts w:ascii="Georgia" w:eastAsiaTheme="minorHAnsi" w:hAnsi="Georgia" w:cs="Candara"/>
          <w:b/>
          <w:bCs/>
          <w:color w:val="000000"/>
          <w:sz w:val="28"/>
          <w:szCs w:val="28"/>
        </w:rPr>
      </w:pPr>
    </w:p>
    <w:p w:rsidR="00616B06" w:rsidRDefault="00616B06" w:rsidP="00616B06">
      <w:pPr>
        <w:autoSpaceDE w:val="0"/>
        <w:autoSpaceDN w:val="0"/>
        <w:adjustRightInd w:val="0"/>
        <w:jc w:val="center"/>
        <w:rPr>
          <w:rFonts w:ascii="Georgia" w:eastAsiaTheme="minorHAnsi" w:hAnsi="Georgia" w:cs="Candara"/>
          <w:b/>
          <w:bCs/>
          <w:color w:val="000000"/>
          <w:sz w:val="28"/>
          <w:szCs w:val="28"/>
        </w:rPr>
      </w:pPr>
    </w:p>
    <w:p w:rsidR="00616B06" w:rsidRDefault="00616B06" w:rsidP="00616B06">
      <w:pPr>
        <w:autoSpaceDE w:val="0"/>
        <w:autoSpaceDN w:val="0"/>
        <w:adjustRightInd w:val="0"/>
        <w:rPr>
          <w:rFonts w:ascii="Georgia" w:eastAsiaTheme="minorHAnsi" w:hAnsi="Georgia" w:cs="Candara"/>
          <w:b/>
          <w:bCs/>
          <w:color w:val="000000"/>
          <w:sz w:val="28"/>
          <w:szCs w:val="28"/>
        </w:rPr>
      </w:pPr>
    </w:p>
    <w:p w:rsidR="00616B06" w:rsidRPr="0023458E" w:rsidRDefault="00616B06" w:rsidP="00616B06">
      <w:pPr>
        <w:autoSpaceDE w:val="0"/>
        <w:autoSpaceDN w:val="0"/>
        <w:adjustRightInd w:val="0"/>
        <w:jc w:val="center"/>
        <w:rPr>
          <w:rFonts w:ascii="Georgia" w:eastAsiaTheme="minorHAnsi" w:hAnsi="Georgia" w:cs="Candara"/>
          <w:b/>
          <w:bCs/>
          <w:color w:val="000000"/>
          <w:sz w:val="28"/>
          <w:szCs w:val="28"/>
        </w:rPr>
      </w:pPr>
      <w:r>
        <w:rPr>
          <w:rFonts w:ascii="Georgia" w:eastAsiaTheme="minorHAnsi" w:hAnsi="Georgia" w:cs="Candara"/>
          <w:b/>
          <w:bCs/>
          <w:color w:val="000000"/>
          <w:sz w:val="28"/>
          <w:szCs w:val="28"/>
        </w:rPr>
        <w:t>REFERENCE</w:t>
      </w:r>
    </w:p>
    <w:p w:rsidR="00616B06" w:rsidRDefault="00616B06" w:rsidP="00616B06">
      <w:pPr>
        <w:pStyle w:val="bibliographie"/>
        <w:spacing w:before="0" w:beforeAutospacing="0" w:after="0" w:afterAutospacing="0"/>
        <w:jc w:val="both"/>
        <w:rPr>
          <w:rFonts w:ascii="Georgia" w:hAnsi="Georgia"/>
        </w:rPr>
      </w:pPr>
      <w:r>
        <w:rPr>
          <w:rFonts w:ascii="Georgia" w:hAnsi="Georgia"/>
        </w:rPr>
        <w:t>Abd-el-Khalik, F, Boyle, H. A &amp; Pier, D.,</w:t>
      </w:r>
      <w:r w:rsidRPr="0023458E">
        <w:rPr>
          <w:rFonts w:ascii="Georgia" w:hAnsi="Georgia"/>
        </w:rPr>
        <w:t xml:space="preserve"> 2006. </w:t>
      </w:r>
      <w:r w:rsidRPr="0023458E">
        <w:rPr>
          <w:rStyle w:val="Emphasis"/>
          <w:rFonts w:ascii="Georgia" w:hAnsi="Georgia"/>
        </w:rPr>
        <w:t>Educational Quality in Islamic schools: Synopsis of Report No. 1: Nigeria</w:t>
      </w:r>
      <w:r w:rsidRPr="0023458E">
        <w:rPr>
          <w:rFonts w:ascii="Georgia" w:hAnsi="Georgia"/>
        </w:rPr>
        <w:t xml:space="preserve">, American Institutes for Research with Education Development Centre, Inc. (EDC) under the Educational Quality Improvement Programme (EQUIP) of the United States Agency for International Development (USAID). </w:t>
      </w:r>
    </w:p>
    <w:p w:rsidR="00616B06" w:rsidRPr="00C733FC" w:rsidRDefault="00616B06" w:rsidP="00616B06">
      <w:pPr>
        <w:pStyle w:val="bibliographie"/>
        <w:spacing w:before="0" w:beforeAutospacing="0" w:after="0" w:afterAutospacing="0"/>
        <w:jc w:val="both"/>
        <w:rPr>
          <w:rFonts w:ascii="Georgia" w:hAnsi="Georgia"/>
          <w:sz w:val="16"/>
          <w:szCs w:val="16"/>
        </w:rPr>
      </w:pPr>
    </w:p>
    <w:p w:rsidR="00616B06" w:rsidRDefault="00616B06" w:rsidP="00616B06">
      <w:pPr>
        <w:pStyle w:val="bibliographie"/>
        <w:spacing w:before="0" w:beforeAutospacing="0" w:after="0" w:afterAutospacing="0"/>
        <w:jc w:val="both"/>
        <w:rPr>
          <w:rFonts w:ascii="Georgia" w:hAnsi="Georgia"/>
        </w:rPr>
      </w:pPr>
      <w:r>
        <w:rPr>
          <w:rFonts w:ascii="Georgia" w:hAnsi="Georgia"/>
        </w:rPr>
        <w:t>AbdulRahman, A. M. &amp; Canham, P.,</w:t>
      </w:r>
      <w:r w:rsidRPr="0023458E">
        <w:rPr>
          <w:rFonts w:ascii="Georgia" w:hAnsi="Georgia"/>
          <w:caps/>
        </w:rPr>
        <w:t xml:space="preserve"> 1978.</w:t>
      </w:r>
      <w:r w:rsidRPr="0023458E">
        <w:rPr>
          <w:rStyle w:val="Emphasis"/>
          <w:rFonts w:ascii="Georgia" w:hAnsi="Georgia"/>
        </w:rPr>
        <w:t>The Ink of the Scholar: Islamic Tradition of Education in Nigeria,</w:t>
      </w:r>
      <w:r w:rsidRPr="0023458E">
        <w:rPr>
          <w:rFonts w:ascii="Georgia" w:hAnsi="Georgia"/>
        </w:rPr>
        <w:t xml:space="preserve"> Lagos, Macmillan.</w:t>
      </w:r>
    </w:p>
    <w:p w:rsidR="00616B06" w:rsidRPr="00C733FC" w:rsidRDefault="00616B06" w:rsidP="00616B06">
      <w:pPr>
        <w:pStyle w:val="bibliographie"/>
        <w:spacing w:before="0" w:beforeAutospacing="0" w:after="0" w:afterAutospacing="0"/>
        <w:jc w:val="both"/>
        <w:rPr>
          <w:rFonts w:ascii="Georgia" w:hAnsi="Georgia"/>
          <w:sz w:val="16"/>
          <w:szCs w:val="16"/>
        </w:rPr>
      </w:pPr>
    </w:p>
    <w:p w:rsidR="00616B06" w:rsidRDefault="00616B06" w:rsidP="00616B06">
      <w:pPr>
        <w:autoSpaceDE w:val="0"/>
        <w:autoSpaceDN w:val="0"/>
        <w:adjustRightInd w:val="0"/>
        <w:jc w:val="both"/>
        <w:rPr>
          <w:rFonts w:ascii="Georgia" w:eastAsiaTheme="minorHAnsi" w:hAnsi="Georgia" w:cs="Candara"/>
          <w:color w:val="000000"/>
        </w:rPr>
      </w:pPr>
      <w:r w:rsidRPr="0023458E">
        <w:rPr>
          <w:rFonts w:ascii="Georgia" w:eastAsiaTheme="minorHAnsi" w:hAnsi="Georgia" w:cs="Candara"/>
          <w:color w:val="000000"/>
        </w:rPr>
        <w:t>African Girl-Child Education Initiative (2001). Yearly Technical Report, Abuja Nigeria.</w:t>
      </w:r>
    </w:p>
    <w:p w:rsidR="00616B06" w:rsidRPr="00C733FC" w:rsidRDefault="00616B06" w:rsidP="00616B06">
      <w:pPr>
        <w:autoSpaceDE w:val="0"/>
        <w:autoSpaceDN w:val="0"/>
        <w:adjustRightInd w:val="0"/>
        <w:jc w:val="both"/>
        <w:rPr>
          <w:rFonts w:ascii="Georgia" w:eastAsiaTheme="minorHAnsi" w:hAnsi="Georgia" w:cs="Candara"/>
          <w:color w:val="000000"/>
          <w:sz w:val="16"/>
          <w:szCs w:val="16"/>
        </w:rPr>
      </w:pPr>
    </w:p>
    <w:p w:rsidR="00616B06" w:rsidRDefault="00616B06" w:rsidP="00616B06">
      <w:pPr>
        <w:pStyle w:val="bibliographie"/>
        <w:spacing w:before="0" w:beforeAutospacing="0" w:after="0" w:afterAutospacing="0"/>
        <w:jc w:val="both"/>
        <w:rPr>
          <w:rFonts w:ascii="Georgia" w:hAnsi="Georgia"/>
        </w:rPr>
      </w:pPr>
      <w:r>
        <w:rPr>
          <w:rFonts w:ascii="Georgia" w:eastAsiaTheme="minorHAnsi" w:hAnsi="Georgia" w:cs="Candara"/>
          <w:color w:val="000000"/>
        </w:rPr>
        <w:t>Ardo, G. V. &amp; Junaid,</w:t>
      </w:r>
      <w:r w:rsidRPr="0023458E">
        <w:rPr>
          <w:rFonts w:ascii="Georgia" w:hAnsi="Georgia"/>
        </w:rPr>
        <w:t xml:space="preserve"> 1990. Education in the Sokoto Caliphate: Continuity and Change, in A.M. Kani &amp; K.A. Gandi, </w:t>
      </w:r>
      <w:r w:rsidRPr="0023458E">
        <w:rPr>
          <w:rStyle w:val="Emphasis"/>
          <w:rFonts w:ascii="Georgia" w:hAnsi="Georgia"/>
        </w:rPr>
        <w:t>State and Society in the Sokoto Caliphate</w:t>
      </w:r>
      <w:r w:rsidRPr="0023458E">
        <w:rPr>
          <w:rFonts w:ascii="Georgia" w:hAnsi="Georgia"/>
        </w:rPr>
        <w:t>, Sokoto, Nigeria, Usmanu Danfodiyo University: 291-299.</w:t>
      </w:r>
    </w:p>
    <w:p w:rsidR="00616B06" w:rsidRPr="00C733FC" w:rsidRDefault="00616B06" w:rsidP="00616B06">
      <w:pPr>
        <w:pStyle w:val="bibliographie"/>
        <w:spacing w:before="0" w:beforeAutospacing="0" w:after="0" w:afterAutospacing="0"/>
        <w:jc w:val="both"/>
        <w:rPr>
          <w:rFonts w:ascii="Georgia" w:hAnsi="Georgia"/>
          <w:sz w:val="16"/>
          <w:szCs w:val="16"/>
        </w:rPr>
      </w:pPr>
    </w:p>
    <w:p w:rsidR="00616B06" w:rsidRDefault="00616B06" w:rsidP="00616B06">
      <w:pPr>
        <w:pStyle w:val="bibliographie"/>
        <w:spacing w:before="0" w:beforeAutospacing="0" w:after="0" w:afterAutospacing="0"/>
        <w:jc w:val="both"/>
        <w:rPr>
          <w:rFonts w:ascii="Georgia" w:hAnsi="Georgia"/>
        </w:rPr>
      </w:pPr>
      <w:r w:rsidRPr="0023458E">
        <w:rPr>
          <w:rFonts w:ascii="Georgia" w:hAnsi="Georgia"/>
          <w:caps/>
        </w:rPr>
        <w:t>B</w:t>
      </w:r>
      <w:r>
        <w:rPr>
          <w:rFonts w:ascii="Georgia" w:hAnsi="Georgia"/>
        </w:rPr>
        <w:t>alogun,</w:t>
      </w:r>
      <w:r w:rsidRPr="0023458E">
        <w:rPr>
          <w:rFonts w:ascii="Georgia" w:hAnsi="Georgia"/>
          <w:caps/>
        </w:rPr>
        <w:t xml:space="preserve"> S.A</w:t>
      </w:r>
      <w:r w:rsidRPr="0023458E">
        <w:rPr>
          <w:rFonts w:ascii="Georgia" w:hAnsi="Georgia"/>
        </w:rPr>
        <w:t xml:space="preserve">., 1980. History of Islam upto 1800, in O. Ikime, </w:t>
      </w:r>
      <w:r w:rsidRPr="0023458E">
        <w:rPr>
          <w:rStyle w:val="Emphasis"/>
          <w:rFonts w:ascii="Georgia" w:hAnsi="Georgia"/>
        </w:rPr>
        <w:t>Groundwork of Nigerian History</w:t>
      </w:r>
      <w:r w:rsidRPr="0023458E">
        <w:rPr>
          <w:rFonts w:ascii="Georgia" w:hAnsi="Georgia"/>
        </w:rPr>
        <w:t xml:space="preserve">, Ibadan, Nigeria, Heinemann Educational Books (Nigeria) Ltd. </w:t>
      </w:r>
    </w:p>
    <w:p w:rsidR="00616B06" w:rsidRPr="00D02A73" w:rsidRDefault="00616B06" w:rsidP="00616B06">
      <w:pPr>
        <w:pStyle w:val="bibliographie"/>
        <w:spacing w:before="0" w:beforeAutospacing="0" w:after="0" w:afterAutospacing="0"/>
        <w:jc w:val="both"/>
        <w:rPr>
          <w:rFonts w:ascii="Georgia" w:hAnsi="Georgia"/>
          <w:sz w:val="16"/>
          <w:szCs w:val="16"/>
        </w:rPr>
      </w:pPr>
    </w:p>
    <w:p w:rsidR="00616B06" w:rsidRPr="0023458E" w:rsidRDefault="00616B06" w:rsidP="00616B06">
      <w:pPr>
        <w:autoSpaceDE w:val="0"/>
        <w:autoSpaceDN w:val="0"/>
        <w:adjustRightInd w:val="0"/>
        <w:jc w:val="both"/>
        <w:rPr>
          <w:rFonts w:ascii="Georgia" w:hAnsi="Georgia"/>
        </w:rPr>
      </w:pPr>
      <w:r w:rsidRPr="0023458E">
        <w:rPr>
          <w:rFonts w:ascii="Georgia" w:hAnsi="Georgia"/>
        </w:rPr>
        <w:t>Bilkisu Y. (1993),</w:t>
      </w:r>
      <w:r w:rsidRPr="0023458E">
        <w:rPr>
          <w:rFonts w:ascii="Georgia" w:hAnsi="Georgia"/>
          <w:i/>
          <w:iCs/>
        </w:rPr>
        <w:t>’Da’awah and Contemporary Challenges facing Muslim Women in Secular States: Nigerian Case Study’</w:t>
      </w:r>
      <w:r w:rsidRPr="0023458E">
        <w:rPr>
          <w:rFonts w:ascii="Georgia" w:hAnsi="Georgia"/>
        </w:rPr>
        <w:t xml:space="preserve"> in Islam in Africa – Proceedings of the Islam in Africa Conference, edited by Nura Alkali, Adamu Adamu, Dr. Awwal Yadudu, Dr. Rashid Motem and Haruna Salihi.</w:t>
      </w:r>
    </w:p>
    <w:p w:rsidR="00616B06" w:rsidRPr="00C733FC" w:rsidRDefault="00616B06" w:rsidP="00616B06">
      <w:pPr>
        <w:autoSpaceDE w:val="0"/>
        <w:autoSpaceDN w:val="0"/>
        <w:adjustRightInd w:val="0"/>
        <w:jc w:val="both"/>
        <w:rPr>
          <w:rFonts w:ascii="Georgia" w:eastAsiaTheme="minorHAnsi" w:hAnsi="Georgia" w:cs="TTE1DDC3B8t00"/>
          <w:color w:val="000000"/>
          <w:sz w:val="16"/>
          <w:szCs w:val="16"/>
        </w:rPr>
      </w:pPr>
    </w:p>
    <w:p w:rsidR="00616B06" w:rsidRPr="0023458E" w:rsidRDefault="00616B06" w:rsidP="00616B06">
      <w:pPr>
        <w:autoSpaceDE w:val="0"/>
        <w:autoSpaceDN w:val="0"/>
        <w:adjustRightInd w:val="0"/>
        <w:jc w:val="both"/>
        <w:rPr>
          <w:rFonts w:ascii="Georgia" w:eastAsiaTheme="minorHAnsi" w:hAnsi="Georgia" w:cs="TTE1BA7708t00"/>
          <w:color w:val="000000"/>
        </w:rPr>
      </w:pPr>
      <w:r w:rsidRPr="0023458E">
        <w:rPr>
          <w:rFonts w:ascii="Georgia" w:eastAsiaTheme="minorHAnsi" w:hAnsi="Georgia" w:cs="TTE1DDC3B8t00"/>
          <w:color w:val="000000"/>
        </w:rPr>
        <w:t xml:space="preserve">Boyd, Jean, 1989: </w:t>
      </w:r>
      <w:r w:rsidRPr="0023458E">
        <w:rPr>
          <w:rFonts w:ascii="Georgia" w:eastAsiaTheme="minorHAnsi" w:hAnsi="Georgia" w:cs="TTE1BA7708t00"/>
          <w:color w:val="000000"/>
        </w:rPr>
        <w:t>The Caliph's Sister. Nana Asma'u, 1793-1865: Teacher, Poet and Islamic Leader. London: Frank</w:t>
      </w:r>
    </w:p>
    <w:p w:rsidR="00616B06" w:rsidRPr="0023458E" w:rsidRDefault="00616B06" w:rsidP="00616B06">
      <w:pPr>
        <w:autoSpaceDE w:val="0"/>
        <w:autoSpaceDN w:val="0"/>
        <w:adjustRightInd w:val="0"/>
        <w:jc w:val="both"/>
        <w:rPr>
          <w:rFonts w:ascii="Georgia" w:eastAsiaTheme="minorHAnsi" w:hAnsi="Georgia" w:cs="TTE1BA7708t00"/>
          <w:color w:val="000000"/>
        </w:rPr>
      </w:pPr>
      <w:r w:rsidRPr="0023458E">
        <w:rPr>
          <w:rFonts w:ascii="Georgia" w:eastAsiaTheme="minorHAnsi" w:hAnsi="Georgia" w:cs="TTE1BA7708t00"/>
          <w:color w:val="000000"/>
        </w:rPr>
        <w:t>Cass.</w:t>
      </w:r>
    </w:p>
    <w:p w:rsidR="00616B06" w:rsidRPr="00D02A73" w:rsidRDefault="00616B06" w:rsidP="00616B06">
      <w:pPr>
        <w:autoSpaceDE w:val="0"/>
        <w:autoSpaceDN w:val="0"/>
        <w:adjustRightInd w:val="0"/>
        <w:jc w:val="both"/>
        <w:rPr>
          <w:rFonts w:ascii="Georgia" w:eastAsiaTheme="minorHAnsi" w:hAnsi="Georgia" w:cs="Candara"/>
          <w:color w:val="000000"/>
          <w:sz w:val="16"/>
          <w:szCs w:val="16"/>
        </w:rPr>
      </w:pPr>
    </w:p>
    <w:p w:rsidR="00616B06" w:rsidRDefault="00616B06" w:rsidP="00616B06">
      <w:pPr>
        <w:autoSpaceDE w:val="0"/>
        <w:autoSpaceDN w:val="0"/>
        <w:adjustRightInd w:val="0"/>
        <w:jc w:val="both"/>
        <w:rPr>
          <w:rFonts w:ascii="Georgia" w:eastAsiaTheme="minorHAnsi" w:hAnsi="Georgia" w:cs="Candara"/>
          <w:color w:val="000000"/>
        </w:rPr>
      </w:pPr>
      <w:r w:rsidRPr="0023458E">
        <w:rPr>
          <w:rFonts w:ascii="Georgia" w:eastAsiaTheme="minorHAnsi" w:hAnsi="Georgia" w:cs="Candara"/>
          <w:color w:val="000000"/>
        </w:rPr>
        <w:t>Bukar, A. D. (2004). Analysis of the Situation and Key Factor</w:t>
      </w:r>
      <w:r>
        <w:rPr>
          <w:rFonts w:ascii="Georgia" w:eastAsiaTheme="minorHAnsi" w:hAnsi="Georgia" w:cs="Candara"/>
          <w:color w:val="000000"/>
        </w:rPr>
        <w:t xml:space="preserve">s that Hinders Girls Education </w:t>
      </w:r>
      <w:r w:rsidRPr="0023458E">
        <w:rPr>
          <w:rFonts w:ascii="Georgia" w:eastAsiaTheme="minorHAnsi" w:hAnsi="Georgia" w:cs="Candara"/>
          <w:color w:val="000000"/>
        </w:rPr>
        <w:t>in Borno State. A Paper Presented at Sensi</w:t>
      </w:r>
      <w:r>
        <w:rPr>
          <w:rFonts w:ascii="Georgia" w:eastAsiaTheme="minorHAnsi" w:hAnsi="Georgia" w:cs="Candara"/>
          <w:color w:val="000000"/>
        </w:rPr>
        <w:t xml:space="preserve">tization Workshop on Girl-child </w:t>
      </w:r>
      <w:r w:rsidRPr="0023458E">
        <w:rPr>
          <w:rFonts w:ascii="Georgia" w:eastAsiaTheme="minorHAnsi" w:hAnsi="Georgia" w:cs="Candara"/>
          <w:color w:val="000000"/>
        </w:rPr>
        <w:t>Education, in Maiduguri, Nigeria.</w:t>
      </w:r>
      <w:r>
        <w:rPr>
          <w:rFonts w:ascii="Georgia" w:eastAsiaTheme="minorHAnsi" w:hAnsi="Georgia" w:cs="Candara"/>
          <w:color w:val="000000"/>
        </w:rPr>
        <w:t xml:space="preserve"> Bugaje</w:t>
      </w:r>
    </w:p>
    <w:p w:rsidR="00616B06" w:rsidRPr="00D02A73" w:rsidRDefault="00616B06" w:rsidP="00616B06">
      <w:pPr>
        <w:autoSpaceDE w:val="0"/>
        <w:autoSpaceDN w:val="0"/>
        <w:adjustRightInd w:val="0"/>
        <w:jc w:val="both"/>
        <w:rPr>
          <w:rFonts w:ascii="Georgia" w:eastAsiaTheme="minorHAnsi" w:hAnsi="Georgia" w:cs="Candara"/>
          <w:color w:val="000000"/>
          <w:sz w:val="16"/>
          <w:szCs w:val="16"/>
        </w:rPr>
      </w:pPr>
    </w:p>
    <w:p w:rsidR="00616B06" w:rsidRPr="00D02A73" w:rsidRDefault="00616B06" w:rsidP="00616B06">
      <w:pPr>
        <w:pStyle w:val="bibliographie"/>
        <w:spacing w:before="0" w:beforeAutospacing="0" w:after="0" w:afterAutospacing="0"/>
        <w:jc w:val="both"/>
        <w:rPr>
          <w:rFonts w:ascii="Georgia" w:hAnsi="Georgia"/>
        </w:rPr>
      </w:pPr>
      <w:r>
        <w:rPr>
          <w:rFonts w:ascii="Georgia" w:eastAsiaTheme="minorHAnsi" w:hAnsi="Georgia" w:cs="Candara"/>
          <w:color w:val="000000"/>
        </w:rPr>
        <w:t>Bugaje</w:t>
      </w:r>
      <w:r w:rsidRPr="0023458E">
        <w:rPr>
          <w:rFonts w:ascii="Georgia" w:hAnsi="Georgia"/>
          <w:caps/>
        </w:rPr>
        <w:t>, U.M</w:t>
      </w:r>
      <w:r w:rsidRPr="0023458E">
        <w:rPr>
          <w:rFonts w:ascii="Georgia" w:hAnsi="Georgia"/>
        </w:rPr>
        <w:t xml:space="preserve">., 1997. Some Reflections on the Development of Islamic Learning in Katsina State (1300-1800 AD), in I.A. Tsiga &amp; A.U. Adamu, </w:t>
      </w:r>
      <w:r w:rsidRPr="0023458E">
        <w:rPr>
          <w:rStyle w:val="Emphasis"/>
          <w:rFonts w:ascii="Georgia" w:hAnsi="Georgia"/>
        </w:rPr>
        <w:t xml:space="preserve">Islam and the History of </w:t>
      </w:r>
      <w:r w:rsidRPr="0023458E">
        <w:rPr>
          <w:rStyle w:val="Emphasis"/>
          <w:rFonts w:ascii="Georgia" w:hAnsi="Georgia"/>
        </w:rPr>
        <w:lastRenderedPageBreak/>
        <w:t>Learning in Katsina</w:t>
      </w:r>
      <w:r w:rsidRPr="0023458E">
        <w:rPr>
          <w:rFonts w:ascii="Georgia" w:hAnsi="Georgia"/>
        </w:rPr>
        <w:t xml:space="preserve">, Ibadan, Nigeria, Spectrum Books Limited: 77 -87. </w:t>
      </w:r>
      <w:r w:rsidRPr="0023458E">
        <w:rPr>
          <w:rFonts w:ascii="Georgia" w:eastAsiaTheme="minorHAnsi" w:hAnsi="Georgia" w:cs="TTE1DDC3B8t00"/>
          <w:color w:val="000000"/>
        </w:rPr>
        <w:t xml:space="preserve">Callaway, Barbara, 1987: </w:t>
      </w:r>
      <w:r w:rsidRPr="0023458E">
        <w:rPr>
          <w:rFonts w:ascii="Georgia" w:eastAsiaTheme="minorHAnsi" w:hAnsi="Georgia" w:cs="TTE1BA7708t00"/>
          <w:color w:val="000000"/>
        </w:rPr>
        <w:t>Muslim Hausa Women in Nigeria. Tradition and Change. Syracuse: University Press.</w:t>
      </w:r>
    </w:p>
    <w:p w:rsidR="00616B06" w:rsidRPr="00D02A73" w:rsidRDefault="00616B06" w:rsidP="00616B06">
      <w:pPr>
        <w:pStyle w:val="bibliographie"/>
        <w:spacing w:before="0" w:beforeAutospacing="0" w:after="0" w:afterAutospacing="0"/>
        <w:jc w:val="both"/>
        <w:rPr>
          <w:rFonts w:ascii="Georgia" w:hAnsi="Georgia"/>
          <w:sz w:val="16"/>
          <w:szCs w:val="16"/>
        </w:rPr>
      </w:pPr>
    </w:p>
    <w:p w:rsidR="00616B06" w:rsidRDefault="00616B06" w:rsidP="00616B06">
      <w:pPr>
        <w:pStyle w:val="bibliographie"/>
        <w:spacing w:before="0" w:beforeAutospacing="0" w:after="0" w:afterAutospacing="0"/>
        <w:jc w:val="both"/>
        <w:rPr>
          <w:rFonts w:ascii="Georgia" w:hAnsi="Georgia"/>
        </w:rPr>
      </w:pPr>
      <w:r w:rsidRPr="0023458E">
        <w:rPr>
          <w:rFonts w:ascii="Georgia" w:hAnsi="Georgia"/>
        </w:rPr>
        <w:t>Hajara M. K.</w:t>
      </w:r>
      <w:r w:rsidRPr="0023458E">
        <w:rPr>
          <w:rFonts w:ascii="Georgia" w:hAnsi="Georgia"/>
          <w:i/>
          <w:iCs/>
        </w:rPr>
        <w:t xml:space="preserve"> Northern Women Development: A Focus on Women in Northern Nigeria,</w:t>
      </w:r>
      <w:r w:rsidRPr="0023458E">
        <w:rPr>
          <w:rFonts w:ascii="Georgia" w:hAnsi="Georgia"/>
        </w:rPr>
        <w:t xml:space="preserve"> (ND)</w:t>
      </w:r>
      <w:r>
        <w:rPr>
          <w:rFonts w:ascii="Georgia" w:hAnsi="Georgia"/>
        </w:rPr>
        <w:t>. Ibrahim</w:t>
      </w:r>
    </w:p>
    <w:p w:rsidR="00616B06" w:rsidRPr="00D02A73" w:rsidRDefault="00616B06" w:rsidP="00616B06">
      <w:pPr>
        <w:pStyle w:val="bibliographie"/>
        <w:spacing w:before="0" w:beforeAutospacing="0" w:after="0" w:afterAutospacing="0"/>
        <w:jc w:val="both"/>
        <w:rPr>
          <w:rFonts w:ascii="Georgia" w:hAnsi="Georgia"/>
          <w:sz w:val="16"/>
          <w:szCs w:val="16"/>
        </w:rPr>
      </w:pPr>
    </w:p>
    <w:p w:rsidR="00616B06" w:rsidRDefault="00616B06" w:rsidP="00616B06">
      <w:pPr>
        <w:pStyle w:val="bibliographie"/>
        <w:spacing w:before="0" w:beforeAutospacing="0" w:after="0" w:afterAutospacing="0"/>
        <w:jc w:val="both"/>
        <w:rPr>
          <w:rFonts w:ascii="Georgia" w:hAnsi="Georgia"/>
        </w:rPr>
      </w:pPr>
      <w:r>
        <w:rPr>
          <w:rFonts w:ascii="Georgia" w:hAnsi="Georgia"/>
        </w:rPr>
        <w:t>Ibrahim</w:t>
      </w:r>
      <w:r w:rsidRPr="0023458E">
        <w:rPr>
          <w:rFonts w:ascii="Georgia" w:hAnsi="Georgia"/>
          <w:caps/>
        </w:rPr>
        <w:t>, A.R</w:t>
      </w:r>
      <w:r w:rsidRPr="0023458E">
        <w:rPr>
          <w:rFonts w:ascii="Georgia" w:hAnsi="Georgia"/>
        </w:rPr>
        <w:t xml:space="preserve">., 2005. Muslim Educational Reform in South-western Nigeria, in Umar, B.A., Shehu, S. &amp; Malumfashi, M.U., </w:t>
      </w:r>
      <w:r w:rsidRPr="0023458E">
        <w:rPr>
          <w:rStyle w:val="Emphasis"/>
          <w:rFonts w:ascii="Georgia" w:hAnsi="Georgia"/>
        </w:rPr>
        <w:t>Muslim Educational Reform Activities in Nigeria</w:t>
      </w:r>
      <w:r w:rsidRPr="0023458E">
        <w:rPr>
          <w:rFonts w:ascii="Georgia" w:hAnsi="Georgia"/>
        </w:rPr>
        <w:t xml:space="preserve">, Kano, Benchmark Publishers, 2005: 128-142. </w:t>
      </w:r>
    </w:p>
    <w:p w:rsidR="00616B06" w:rsidRPr="00D02A73" w:rsidRDefault="00616B06" w:rsidP="00616B06">
      <w:pPr>
        <w:pStyle w:val="bibliographie"/>
        <w:spacing w:before="0" w:beforeAutospacing="0" w:after="0" w:afterAutospacing="0"/>
        <w:jc w:val="both"/>
        <w:rPr>
          <w:rFonts w:ascii="Georgia" w:hAnsi="Georgia"/>
          <w:sz w:val="16"/>
          <w:szCs w:val="16"/>
        </w:rPr>
      </w:pPr>
    </w:p>
    <w:p w:rsidR="00616B06" w:rsidRDefault="00616B06" w:rsidP="00616B06">
      <w:pPr>
        <w:autoSpaceDE w:val="0"/>
        <w:autoSpaceDN w:val="0"/>
        <w:adjustRightInd w:val="0"/>
        <w:jc w:val="both"/>
        <w:rPr>
          <w:rFonts w:ascii="Georgia" w:eastAsiaTheme="minorHAnsi" w:hAnsi="Georgia" w:cs="Candara"/>
          <w:color w:val="000000"/>
        </w:rPr>
      </w:pPr>
      <w:r w:rsidRPr="0023458E">
        <w:rPr>
          <w:rFonts w:ascii="Georgia" w:eastAsiaTheme="minorHAnsi" w:hAnsi="Georgia" w:cs="Candara"/>
          <w:color w:val="000000"/>
        </w:rPr>
        <w:t>Jasada, H. (1999). The Impact of Socio-cultural Value on</w:t>
      </w:r>
      <w:r>
        <w:rPr>
          <w:rFonts w:ascii="Georgia" w:eastAsiaTheme="minorHAnsi" w:hAnsi="Georgia" w:cs="Candara"/>
          <w:color w:val="000000"/>
        </w:rPr>
        <w:t xml:space="preserve"> the Education of Women in Yobe </w:t>
      </w:r>
      <w:r w:rsidRPr="0023458E">
        <w:rPr>
          <w:rFonts w:ascii="Georgia" w:eastAsiaTheme="minorHAnsi" w:hAnsi="Georgia" w:cs="Candara"/>
          <w:color w:val="000000"/>
        </w:rPr>
        <w:t>State. Unpublished M.Ed. Thesis: University of Maiduguri, Nigeria.</w:t>
      </w:r>
    </w:p>
    <w:p w:rsidR="00616B06" w:rsidRPr="00D02A73" w:rsidRDefault="00616B06" w:rsidP="00616B06">
      <w:pPr>
        <w:autoSpaceDE w:val="0"/>
        <w:autoSpaceDN w:val="0"/>
        <w:adjustRightInd w:val="0"/>
        <w:jc w:val="both"/>
        <w:rPr>
          <w:rFonts w:ascii="Georgia" w:eastAsiaTheme="minorHAnsi" w:hAnsi="Georgia" w:cs="Candara"/>
          <w:color w:val="000000"/>
          <w:sz w:val="16"/>
          <w:szCs w:val="16"/>
        </w:rPr>
      </w:pPr>
    </w:p>
    <w:p w:rsidR="00616B06" w:rsidRDefault="00616B06" w:rsidP="00616B06">
      <w:pPr>
        <w:autoSpaceDE w:val="0"/>
        <w:autoSpaceDN w:val="0"/>
        <w:adjustRightInd w:val="0"/>
        <w:jc w:val="both"/>
        <w:rPr>
          <w:rFonts w:ascii="Georgia" w:eastAsiaTheme="minorHAnsi" w:hAnsi="Georgia" w:cs="Candara"/>
          <w:color w:val="000000"/>
        </w:rPr>
      </w:pPr>
      <w:r w:rsidRPr="0023458E">
        <w:rPr>
          <w:rFonts w:ascii="Georgia" w:eastAsiaTheme="minorHAnsi" w:hAnsi="Georgia" w:cs="Candara"/>
          <w:color w:val="000000"/>
        </w:rPr>
        <w:t>Kaita, H. I. (1985). Women’s Education in Nigeria: A Pape</w:t>
      </w:r>
      <w:r>
        <w:rPr>
          <w:rFonts w:ascii="Georgia" w:eastAsiaTheme="minorHAnsi" w:hAnsi="Georgia" w:cs="Candara"/>
          <w:color w:val="000000"/>
        </w:rPr>
        <w:t xml:space="preserve">r Presented at Conference and a </w:t>
      </w:r>
      <w:r w:rsidRPr="0023458E">
        <w:rPr>
          <w:rFonts w:ascii="Georgia" w:eastAsiaTheme="minorHAnsi" w:hAnsi="Georgia" w:cs="Candara"/>
          <w:color w:val="000000"/>
        </w:rPr>
        <w:t>Philosophy for Nigerian Educations Lagos, Nigeria.</w:t>
      </w:r>
    </w:p>
    <w:p w:rsidR="00616B06" w:rsidRPr="00D02A73" w:rsidRDefault="00616B06" w:rsidP="00616B06">
      <w:pPr>
        <w:autoSpaceDE w:val="0"/>
        <w:autoSpaceDN w:val="0"/>
        <w:adjustRightInd w:val="0"/>
        <w:jc w:val="both"/>
        <w:rPr>
          <w:rFonts w:ascii="Georgia" w:eastAsiaTheme="minorHAnsi" w:hAnsi="Georgia" w:cs="Candara"/>
          <w:color w:val="000000"/>
          <w:sz w:val="16"/>
          <w:szCs w:val="16"/>
        </w:rPr>
      </w:pPr>
    </w:p>
    <w:p w:rsidR="00616B06" w:rsidRDefault="00616B06" w:rsidP="00616B06">
      <w:pPr>
        <w:pStyle w:val="bibliographie"/>
        <w:spacing w:before="0" w:beforeAutospacing="0" w:after="0" w:afterAutospacing="0"/>
        <w:jc w:val="both"/>
        <w:rPr>
          <w:rFonts w:ascii="Georgia" w:hAnsi="Georgia"/>
        </w:rPr>
      </w:pPr>
      <w:r>
        <w:rPr>
          <w:rFonts w:ascii="Georgia" w:eastAsiaTheme="minorHAnsi" w:hAnsi="Georgia" w:cs="Candara"/>
          <w:color w:val="000000"/>
        </w:rPr>
        <w:t>Khalid</w:t>
      </w:r>
      <w:r w:rsidRPr="0023458E">
        <w:rPr>
          <w:rFonts w:ascii="Georgia" w:hAnsi="Georgia"/>
          <w:caps/>
        </w:rPr>
        <w:t>, S.,</w:t>
      </w:r>
      <w:r w:rsidRPr="0023458E">
        <w:rPr>
          <w:rFonts w:ascii="Georgia" w:hAnsi="Georgia"/>
        </w:rPr>
        <w:t xml:space="preserve"> 1999. State and Islamic Education in Northern Nigeria: an Historical Survey, </w:t>
      </w:r>
      <w:r w:rsidRPr="0023458E">
        <w:rPr>
          <w:rStyle w:val="Emphasis"/>
          <w:rFonts w:ascii="Georgia" w:hAnsi="Georgia"/>
        </w:rPr>
        <w:t>Al-Nahda: A Journal of Islamic Heritage</w:t>
      </w:r>
      <w:r w:rsidRPr="0023458E">
        <w:rPr>
          <w:rFonts w:ascii="Georgia" w:hAnsi="Georgia"/>
        </w:rPr>
        <w:t xml:space="preserve">, Vol. 2, Nos. 1 &amp; 2, pp. 18-23. </w:t>
      </w:r>
    </w:p>
    <w:p w:rsidR="00616B06" w:rsidRPr="00D02A73" w:rsidRDefault="00616B06" w:rsidP="00616B06">
      <w:pPr>
        <w:pStyle w:val="bibliographie"/>
        <w:spacing w:before="0" w:beforeAutospacing="0" w:after="0" w:afterAutospacing="0"/>
        <w:jc w:val="both"/>
        <w:rPr>
          <w:rFonts w:ascii="Georgia" w:hAnsi="Georgia"/>
          <w:sz w:val="16"/>
          <w:szCs w:val="16"/>
        </w:rPr>
      </w:pPr>
    </w:p>
    <w:p w:rsidR="00616B06" w:rsidRDefault="00616B06" w:rsidP="00616B06">
      <w:pPr>
        <w:pStyle w:val="bibliographie"/>
        <w:spacing w:before="0" w:beforeAutospacing="0" w:after="0" w:afterAutospacing="0"/>
        <w:jc w:val="both"/>
        <w:rPr>
          <w:rFonts w:ascii="Georgia" w:hAnsi="Georgia"/>
        </w:rPr>
      </w:pPr>
      <w:r w:rsidRPr="0023458E">
        <w:rPr>
          <w:rFonts w:ascii="Georgia" w:hAnsi="Georgia"/>
        </w:rPr>
        <w:t>Lawal S. (2009), Islamic Education in Katsina, Historical and Contemporary Perspectives’, Unpublished PhD Theses presented to Islamic Studies Department, Bayero University, Kano.</w:t>
      </w:r>
    </w:p>
    <w:p w:rsidR="00616B06" w:rsidRPr="00D02A73" w:rsidRDefault="00616B06" w:rsidP="00616B06">
      <w:pPr>
        <w:pStyle w:val="bibliographie"/>
        <w:spacing w:before="0" w:beforeAutospacing="0" w:after="0" w:afterAutospacing="0"/>
        <w:jc w:val="both"/>
        <w:rPr>
          <w:rFonts w:ascii="Georgia" w:hAnsi="Georgia"/>
          <w:caps/>
          <w:sz w:val="16"/>
          <w:szCs w:val="16"/>
        </w:rPr>
      </w:pPr>
    </w:p>
    <w:p w:rsidR="00616B06" w:rsidRDefault="00616B06" w:rsidP="00616B06">
      <w:pPr>
        <w:pStyle w:val="bibliographie"/>
        <w:spacing w:before="0" w:beforeAutospacing="0" w:after="0" w:afterAutospacing="0"/>
        <w:jc w:val="both"/>
        <w:rPr>
          <w:rFonts w:ascii="Georgia" w:hAnsi="Georgia"/>
        </w:rPr>
      </w:pPr>
      <w:r w:rsidRPr="0023458E">
        <w:rPr>
          <w:rFonts w:ascii="Georgia" w:hAnsi="Georgia"/>
          <w:caps/>
        </w:rPr>
        <w:t xml:space="preserve">OZIGI, A.o. &amp; L. OCHO, 1981. </w:t>
      </w:r>
      <w:r w:rsidRPr="0023458E">
        <w:rPr>
          <w:rStyle w:val="Emphasis"/>
          <w:rFonts w:ascii="Georgia" w:hAnsi="Georgia"/>
          <w:caps/>
        </w:rPr>
        <w:t>E</w:t>
      </w:r>
      <w:r w:rsidRPr="0023458E">
        <w:rPr>
          <w:rStyle w:val="Emphasis"/>
          <w:rFonts w:ascii="Georgia" w:hAnsi="Georgia"/>
        </w:rPr>
        <w:t>ducation in Northern Nigeria</w:t>
      </w:r>
      <w:r w:rsidRPr="0023458E">
        <w:rPr>
          <w:rFonts w:ascii="Georgia" w:hAnsi="Georgia"/>
        </w:rPr>
        <w:t>, London and Boston, Allen &amp; Unwin.</w:t>
      </w:r>
    </w:p>
    <w:p w:rsidR="00616B06" w:rsidRPr="00D02A73" w:rsidRDefault="00616B06" w:rsidP="00616B06">
      <w:pPr>
        <w:pStyle w:val="bibliographie"/>
        <w:spacing w:before="0" w:beforeAutospacing="0" w:after="0" w:afterAutospacing="0"/>
        <w:jc w:val="both"/>
        <w:rPr>
          <w:rFonts w:ascii="Georgia" w:hAnsi="Georgia"/>
          <w:sz w:val="16"/>
          <w:szCs w:val="16"/>
        </w:rPr>
      </w:pPr>
    </w:p>
    <w:p w:rsidR="00616B06" w:rsidRPr="0023458E" w:rsidRDefault="00616B06" w:rsidP="00616B06">
      <w:pPr>
        <w:autoSpaceDE w:val="0"/>
        <w:autoSpaceDN w:val="0"/>
        <w:adjustRightInd w:val="0"/>
        <w:jc w:val="both"/>
        <w:rPr>
          <w:rFonts w:ascii="Georgia" w:hAnsi="Georgia"/>
          <w:lang w:val="en-GB"/>
        </w:rPr>
      </w:pPr>
      <w:r w:rsidRPr="0023458E">
        <w:rPr>
          <w:rFonts w:ascii="Georgia" w:hAnsi="Georgia"/>
          <w:lang w:val="en-GB"/>
        </w:rPr>
        <w:t>Shehu S. (2005), Muslim Educational Reform Activities in Nigeria: Trends, Issues and Future Directions in ‘</w:t>
      </w:r>
      <w:r w:rsidRPr="0023458E">
        <w:rPr>
          <w:rFonts w:ascii="Georgia" w:hAnsi="Georgia"/>
          <w:i/>
          <w:iCs/>
          <w:lang w:val="en-GB"/>
        </w:rPr>
        <w:t>The Muslim Educationb Reform Activities In Nigeria’.</w:t>
      </w:r>
      <w:r w:rsidRPr="0023458E">
        <w:rPr>
          <w:rFonts w:ascii="Georgia" w:hAnsi="Georgia"/>
          <w:lang w:val="en-GB"/>
        </w:rPr>
        <w:t xml:space="preserve"> A joint Publication of the IIIT (Nigeria) and Faculty of Education, Bayero University, Kano. Nigeria, Benchmark  Publishers Limited, p.20.</w:t>
      </w:r>
    </w:p>
    <w:p w:rsidR="00616B06" w:rsidRPr="00D02A73" w:rsidRDefault="00616B06" w:rsidP="00616B06">
      <w:pPr>
        <w:autoSpaceDE w:val="0"/>
        <w:autoSpaceDN w:val="0"/>
        <w:adjustRightInd w:val="0"/>
        <w:jc w:val="both"/>
        <w:rPr>
          <w:rFonts w:ascii="Georgia" w:eastAsiaTheme="minorHAnsi" w:hAnsi="Georgia" w:cs="Candara"/>
          <w:color w:val="000000"/>
          <w:sz w:val="16"/>
          <w:szCs w:val="16"/>
        </w:rPr>
      </w:pPr>
    </w:p>
    <w:p w:rsidR="00616B06" w:rsidRDefault="00616B06" w:rsidP="00616B06">
      <w:pPr>
        <w:autoSpaceDE w:val="0"/>
        <w:autoSpaceDN w:val="0"/>
        <w:adjustRightInd w:val="0"/>
        <w:jc w:val="both"/>
        <w:rPr>
          <w:rFonts w:ascii="Georgia" w:eastAsiaTheme="minorHAnsi" w:hAnsi="Georgia" w:cs="Candara"/>
          <w:color w:val="000000"/>
        </w:rPr>
      </w:pPr>
      <w:r w:rsidRPr="0023458E">
        <w:rPr>
          <w:rFonts w:ascii="Georgia" w:eastAsiaTheme="minorHAnsi" w:hAnsi="Georgia" w:cs="Candara"/>
          <w:color w:val="000000"/>
        </w:rPr>
        <w:t xml:space="preserve">Umar, L.K.K. (1996). Education for the Girl-child </w:t>
      </w:r>
      <w:r>
        <w:rPr>
          <w:rFonts w:ascii="Georgia" w:eastAsiaTheme="minorHAnsi" w:hAnsi="Georgia" w:cs="Candara"/>
          <w:color w:val="000000"/>
        </w:rPr>
        <w:t xml:space="preserve">in Northern Nigeria: A Case for </w:t>
      </w:r>
      <w:r w:rsidRPr="0023458E">
        <w:rPr>
          <w:rFonts w:ascii="Georgia" w:eastAsiaTheme="minorHAnsi" w:hAnsi="Georgia" w:cs="Candara"/>
          <w:color w:val="000000"/>
        </w:rPr>
        <w:t>Counseling. The Canceller 14 (2) 77-83.</w:t>
      </w:r>
    </w:p>
    <w:p w:rsidR="00616B06" w:rsidRPr="00D02A73" w:rsidRDefault="00616B06" w:rsidP="00616B06">
      <w:pPr>
        <w:autoSpaceDE w:val="0"/>
        <w:autoSpaceDN w:val="0"/>
        <w:adjustRightInd w:val="0"/>
        <w:jc w:val="both"/>
        <w:rPr>
          <w:rFonts w:ascii="Georgia" w:eastAsiaTheme="minorHAnsi" w:hAnsi="Georgia" w:cs="Candara"/>
          <w:color w:val="000000"/>
          <w:sz w:val="16"/>
          <w:szCs w:val="16"/>
        </w:rPr>
      </w:pPr>
    </w:p>
    <w:p w:rsidR="00616B06" w:rsidRDefault="00616B06" w:rsidP="00616B06">
      <w:pPr>
        <w:pStyle w:val="bibliographie"/>
        <w:spacing w:before="0" w:beforeAutospacing="0" w:after="0" w:afterAutospacing="0"/>
        <w:jc w:val="both"/>
        <w:rPr>
          <w:rFonts w:ascii="Georgia" w:hAnsi="Georgia"/>
        </w:rPr>
      </w:pPr>
      <w:r>
        <w:rPr>
          <w:rFonts w:ascii="Georgia" w:eastAsiaTheme="minorHAnsi" w:hAnsi="Georgia" w:cs="Candara"/>
          <w:color w:val="000000"/>
        </w:rPr>
        <w:t>Umar</w:t>
      </w:r>
      <w:r w:rsidRPr="0023458E">
        <w:rPr>
          <w:rFonts w:ascii="Georgia" w:hAnsi="Georgia"/>
          <w:caps/>
        </w:rPr>
        <w:t>, M.S</w:t>
      </w:r>
      <w:r w:rsidRPr="0023458E">
        <w:rPr>
          <w:rFonts w:ascii="Georgia" w:hAnsi="Georgia"/>
        </w:rPr>
        <w:t xml:space="preserve">., 2001. Education and Islamic Trends in Northern Nigeria, </w:t>
      </w:r>
      <w:r w:rsidRPr="0023458E">
        <w:rPr>
          <w:rStyle w:val="Emphasis"/>
          <w:rFonts w:ascii="Georgia" w:hAnsi="Georgia"/>
        </w:rPr>
        <w:t>Africa Today</w:t>
      </w:r>
      <w:r w:rsidRPr="0023458E">
        <w:rPr>
          <w:rFonts w:ascii="Georgia" w:hAnsi="Georgia"/>
        </w:rPr>
        <w:t xml:space="preserve">, Vol. 48, No. 2: 127-150. </w:t>
      </w:r>
    </w:p>
    <w:p w:rsidR="00616B06" w:rsidRPr="0023458E" w:rsidRDefault="00616B06" w:rsidP="00616B06">
      <w:pPr>
        <w:pStyle w:val="bibliographie"/>
        <w:spacing w:before="0" w:beforeAutospacing="0" w:after="0" w:afterAutospacing="0"/>
        <w:jc w:val="both"/>
        <w:rPr>
          <w:rFonts w:ascii="Georgia" w:hAnsi="Georgia"/>
        </w:rPr>
      </w:pPr>
    </w:p>
    <w:p w:rsidR="00616B06" w:rsidRPr="0023458E" w:rsidRDefault="00616B06" w:rsidP="00616B06">
      <w:pPr>
        <w:pStyle w:val="bibliographie"/>
        <w:spacing w:before="0" w:beforeAutospacing="0" w:after="0" w:afterAutospacing="0"/>
        <w:jc w:val="both"/>
        <w:rPr>
          <w:rFonts w:ascii="Georgia" w:hAnsi="Georgia"/>
        </w:rPr>
      </w:pPr>
      <w:r>
        <w:rPr>
          <w:rFonts w:ascii="Georgia" w:eastAsiaTheme="minorHAnsi" w:hAnsi="Georgia" w:cs="Candara"/>
          <w:color w:val="000000"/>
        </w:rPr>
        <w:t>Umar</w:t>
      </w:r>
      <w:r w:rsidRPr="0023458E">
        <w:rPr>
          <w:rFonts w:ascii="Georgia" w:hAnsi="Georgia"/>
          <w:caps/>
        </w:rPr>
        <w:t>, M.S</w:t>
      </w:r>
      <w:r w:rsidRPr="0023458E">
        <w:rPr>
          <w:rFonts w:ascii="Georgia" w:hAnsi="Georgia"/>
        </w:rPr>
        <w:t xml:space="preserve">., 2003. Profiles of New Islamic Schools in Northern Nigeria, </w:t>
      </w:r>
      <w:r w:rsidRPr="0023458E">
        <w:rPr>
          <w:rStyle w:val="Emphasis"/>
          <w:rFonts w:ascii="Georgia" w:hAnsi="Georgia"/>
        </w:rPr>
        <w:t>The Maghreb Review</w:t>
      </w:r>
      <w:r w:rsidRPr="0023458E">
        <w:rPr>
          <w:rFonts w:ascii="Georgia" w:hAnsi="Georgia"/>
        </w:rPr>
        <w:t>, Vol. 28, Nos. 2-3: 146-169. </w:t>
      </w:r>
    </w:p>
    <w:p w:rsidR="00616B06" w:rsidRPr="0023458E" w:rsidRDefault="00616B06" w:rsidP="00616B06">
      <w:pPr>
        <w:autoSpaceDE w:val="0"/>
        <w:autoSpaceDN w:val="0"/>
        <w:adjustRightInd w:val="0"/>
        <w:jc w:val="both"/>
        <w:rPr>
          <w:rFonts w:ascii="Georgia" w:eastAsiaTheme="minorHAnsi" w:hAnsi="Georgia" w:cs="Candara"/>
          <w:color w:val="000000"/>
        </w:rPr>
      </w:pPr>
    </w:p>
    <w:p w:rsidR="00616B06" w:rsidRPr="0023458E" w:rsidRDefault="00616B06" w:rsidP="00616B06">
      <w:pPr>
        <w:autoSpaceDE w:val="0"/>
        <w:autoSpaceDN w:val="0"/>
        <w:adjustRightInd w:val="0"/>
        <w:jc w:val="both"/>
        <w:rPr>
          <w:rFonts w:ascii="Georgia" w:eastAsiaTheme="minorHAnsi" w:hAnsi="Georgia" w:cs="Candara"/>
          <w:color w:val="000000"/>
        </w:rPr>
      </w:pPr>
      <w:r w:rsidRPr="0023458E">
        <w:rPr>
          <w:rFonts w:ascii="Georgia" w:eastAsiaTheme="minorHAnsi" w:hAnsi="Georgia" w:cs="Candara"/>
          <w:color w:val="000000"/>
        </w:rPr>
        <w:t>UNICEF (1991). Progress, Challenges and Future Strategi</w:t>
      </w:r>
      <w:r>
        <w:rPr>
          <w:rFonts w:ascii="Georgia" w:eastAsiaTheme="minorHAnsi" w:hAnsi="Georgia" w:cs="Candara"/>
          <w:color w:val="000000"/>
        </w:rPr>
        <w:t xml:space="preserve">es in Basic Education. A united </w:t>
      </w:r>
      <w:r w:rsidRPr="0023458E">
        <w:rPr>
          <w:rFonts w:ascii="Georgia" w:eastAsiaTheme="minorHAnsi" w:hAnsi="Georgia" w:cs="Candara"/>
          <w:color w:val="000000"/>
        </w:rPr>
        <w:t>Nation’s Children Fund Executive Board Annual Session 7th – 11th June.</w:t>
      </w:r>
    </w:p>
    <w:p w:rsidR="00616B06" w:rsidRPr="00D02A73" w:rsidRDefault="00616B06" w:rsidP="00616B06">
      <w:pPr>
        <w:autoSpaceDE w:val="0"/>
        <w:autoSpaceDN w:val="0"/>
        <w:adjustRightInd w:val="0"/>
        <w:jc w:val="both"/>
        <w:rPr>
          <w:rFonts w:ascii="Georgia" w:eastAsiaTheme="minorHAnsi" w:hAnsi="Georgia" w:cs="Candara"/>
          <w:color w:val="000000"/>
          <w:sz w:val="16"/>
          <w:szCs w:val="16"/>
        </w:rPr>
      </w:pPr>
    </w:p>
    <w:p w:rsidR="00616B06" w:rsidRDefault="00616B06" w:rsidP="00616B06">
      <w:pPr>
        <w:autoSpaceDE w:val="0"/>
        <w:autoSpaceDN w:val="0"/>
        <w:adjustRightInd w:val="0"/>
        <w:jc w:val="both"/>
        <w:rPr>
          <w:rFonts w:ascii="Georgia" w:eastAsiaTheme="minorHAnsi" w:hAnsi="Georgia" w:cs="Candara"/>
          <w:color w:val="000000"/>
        </w:rPr>
      </w:pPr>
      <w:r w:rsidRPr="0023458E">
        <w:rPr>
          <w:rFonts w:ascii="Georgia" w:eastAsiaTheme="minorHAnsi" w:hAnsi="Georgia" w:cs="Candara"/>
          <w:color w:val="000000"/>
        </w:rPr>
        <w:t>Wakilbe, A. A. (2003). The Relationship Between</w:t>
      </w:r>
      <w:r>
        <w:rPr>
          <w:rFonts w:ascii="Georgia" w:eastAsiaTheme="minorHAnsi" w:hAnsi="Georgia" w:cs="Candara"/>
          <w:color w:val="000000"/>
        </w:rPr>
        <w:t xml:space="preserve"> Girl-Child Education and Woman </w:t>
      </w:r>
      <w:r w:rsidRPr="0023458E">
        <w:rPr>
          <w:rFonts w:ascii="Georgia" w:eastAsiaTheme="minorHAnsi" w:hAnsi="Georgia" w:cs="Candara"/>
          <w:color w:val="000000"/>
        </w:rPr>
        <w:t>Development in Borno State. Unpublished M.Ed T</w:t>
      </w:r>
      <w:r>
        <w:rPr>
          <w:rFonts w:ascii="Georgia" w:eastAsiaTheme="minorHAnsi" w:hAnsi="Georgia" w:cs="Candara"/>
          <w:color w:val="000000"/>
        </w:rPr>
        <w:t xml:space="preserve">hesis, University of Maiduguri, </w:t>
      </w:r>
      <w:r w:rsidRPr="0023458E">
        <w:rPr>
          <w:rFonts w:ascii="Georgia" w:eastAsiaTheme="minorHAnsi" w:hAnsi="Georgia" w:cs="Candara"/>
          <w:color w:val="000000"/>
        </w:rPr>
        <w:t>Nigeria.</w:t>
      </w:r>
    </w:p>
    <w:p w:rsidR="00616B06" w:rsidRPr="00D02A73" w:rsidRDefault="00616B06" w:rsidP="00616B06">
      <w:pPr>
        <w:autoSpaceDE w:val="0"/>
        <w:autoSpaceDN w:val="0"/>
        <w:adjustRightInd w:val="0"/>
        <w:jc w:val="both"/>
        <w:rPr>
          <w:rFonts w:ascii="Georgia" w:eastAsiaTheme="minorHAnsi" w:hAnsi="Georgia" w:cs="Candara"/>
          <w:color w:val="000000"/>
          <w:sz w:val="16"/>
          <w:szCs w:val="16"/>
        </w:rPr>
      </w:pPr>
    </w:p>
    <w:p w:rsidR="00616B06" w:rsidRPr="0023458E" w:rsidRDefault="00616B06" w:rsidP="00616B06">
      <w:pPr>
        <w:autoSpaceDE w:val="0"/>
        <w:autoSpaceDN w:val="0"/>
        <w:adjustRightInd w:val="0"/>
        <w:jc w:val="both"/>
        <w:rPr>
          <w:rFonts w:ascii="Georgia" w:eastAsiaTheme="minorHAnsi" w:hAnsi="Georgia" w:cs="TTE1BA7708t00"/>
          <w:color w:val="000000"/>
        </w:rPr>
      </w:pPr>
      <w:r w:rsidRPr="0023458E">
        <w:rPr>
          <w:rFonts w:ascii="Georgia" w:eastAsiaTheme="minorHAnsi" w:hAnsi="Georgia" w:cs="TTE1DDC3B8t00"/>
          <w:color w:val="000000"/>
        </w:rPr>
        <w:t xml:space="preserve">Werthmann, Katja, 2000: </w:t>
      </w:r>
      <w:r w:rsidRPr="0023458E">
        <w:rPr>
          <w:rFonts w:ascii="Georgia" w:eastAsiaTheme="minorHAnsi" w:hAnsi="Georgia" w:cs="TTE1BA7708t00"/>
          <w:color w:val="000000"/>
        </w:rPr>
        <w:t>“Seek for Knowledge, Even if it is in China!” Muslim</w:t>
      </w:r>
      <w:r>
        <w:rPr>
          <w:rFonts w:ascii="Georgia" w:eastAsiaTheme="minorHAnsi" w:hAnsi="Georgia" w:cs="TTE1BA7708t00"/>
          <w:color w:val="000000"/>
        </w:rPr>
        <w:t xml:space="preserve"> Women and Secular Education in </w:t>
      </w:r>
      <w:r w:rsidRPr="0023458E">
        <w:rPr>
          <w:rFonts w:ascii="Georgia" w:eastAsiaTheme="minorHAnsi" w:hAnsi="Georgia" w:cs="TTE1BA7708t00"/>
          <w:color w:val="000000"/>
        </w:rPr>
        <w:t>Northern Nigeria. In: Thomas Salter und Kenneth King (Eds.): Africa, Islam and Dev</w:t>
      </w:r>
      <w:r>
        <w:rPr>
          <w:rFonts w:ascii="Georgia" w:eastAsiaTheme="minorHAnsi" w:hAnsi="Georgia" w:cs="TTE1BA7708t00"/>
          <w:color w:val="000000"/>
        </w:rPr>
        <w:t xml:space="preserve">elopment: Islam and Development </w:t>
      </w:r>
      <w:r w:rsidRPr="0023458E">
        <w:rPr>
          <w:rFonts w:ascii="Georgia" w:eastAsiaTheme="minorHAnsi" w:hAnsi="Georgia" w:cs="TTE1BA7708t00"/>
          <w:color w:val="000000"/>
        </w:rPr>
        <w:t>in Africa - African Islam, African Development. University of Edinburgh: Centre of African Studies, 253-270.</w:t>
      </w:r>
    </w:p>
    <w:p w:rsidR="00616B06" w:rsidRPr="0023458E" w:rsidRDefault="00616B06" w:rsidP="00616B06">
      <w:pPr>
        <w:jc w:val="both"/>
        <w:rPr>
          <w:rFonts w:ascii="Georgia" w:eastAsiaTheme="minorHAnsi" w:hAnsi="Georgia" w:cs="TTE1BA7708t00"/>
          <w:color w:val="0000FF"/>
        </w:rPr>
      </w:pPr>
      <w:hyperlink r:id="rId7" w:history="1">
        <w:r w:rsidRPr="0023458E">
          <w:rPr>
            <w:rStyle w:val="Hyperlink"/>
            <w:rFonts w:ascii="Georgia" w:eastAsiaTheme="minorHAnsi" w:hAnsi="Georgia" w:cs="TTE1BA7708t00"/>
          </w:rPr>
          <w:t>http://www.inwent.org/E+Z/content/archive-eng/03-2005/foc_art3.html</w:t>
        </w:r>
      </w:hyperlink>
    </w:p>
    <w:p w:rsidR="00616B06" w:rsidRDefault="00616B06" w:rsidP="00616B06">
      <w:pPr>
        <w:rPr>
          <w:rFonts w:ascii="Candara" w:eastAsiaTheme="minorHAnsi" w:hAnsi="Candara" w:cs="Candara"/>
          <w:color w:val="000000"/>
          <w:sz w:val="23"/>
          <w:szCs w:val="23"/>
        </w:rPr>
      </w:pPr>
    </w:p>
    <w:p w:rsidR="00616B06" w:rsidRDefault="00616B06" w:rsidP="00616B06">
      <w:pPr>
        <w:tabs>
          <w:tab w:val="left" w:pos="630"/>
        </w:tabs>
        <w:ind w:right="-990"/>
        <w:jc w:val="both"/>
        <w:rPr>
          <w:rFonts w:ascii="Tahoma" w:hAnsi="Tahoma" w:cs="Tahoma"/>
        </w:rPr>
      </w:pPr>
    </w:p>
    <w:p w:rsidR="00616B06" w:rsidRDefault="00616B06" w:rsidP="00616B06">
      <w:pPr>
        <w:tabs>
          <w:tab w:val="left" w:pos="630"/>
        </w:tabs>
        <w:ind w:right="-990"/>
        <w:jc w:val="both"/>
        <w:rPr>
          <w:rFonts w:ascii="Tahoma" w:hAnsi="Tahoma" w:cs="Tahoma"/>
        </w:rPr>
      </w:pPr>
    </w:p>
    <w:p w:rsidR="00616B06" w:rsidRDefault="00616B06" w:rsidP="00616B06">
      <w:pPr>
        <w:tabs>
          <w:tab w:val="left" w:pos="630"/>
        </w:tabs>
        <w:ind w:right="-990"/>
        <w:jc w:val="both"/>
        <w:rPr>
          <w:rFonts w:ascii="Tahoma" w:hAnsi="Tahoma" w:cs="Tahoma"/>
        </w:rPr>
      </w:pPr>
    </w:p>
    <w:p w:rsidR="00616B06" w:rsidRDefault="00616B06" w:rsidP="00616B06">
      <w:pPr>
        <w:tabs>
          <w:tab w:val="left" w:pos="630"/>
        </w:tabs>
        <w:ind w:right="-990"/>
        <w:jc w:val="both"/>
        <w:rPr>
          <w:rFonts w:ascii="Tahoma" w:hAnsi="Tahoma" w:cs="Tahoma"/>
        </w:rPr>
      </w:pPr>
      <w:bookmarkStart w:id="0" w:name="_GoBack"/>
      <w:bookmarkEnd w:id="0"/>
    </w:p>
    <w:p w:rsidR="00616B06" w:rsidRDefault="00616B06" w:rsidP="00616B06">
      <w:pPr>
        <w:tabs>
          <w:tab w:val="left" w:pos="630"/>
        </w:tabs>
        <w:ind w:right="-990"/>
        <w:jc w:val="both"/>
        <w:rPr>
          <w:rFonts w:ascii="Tahoma" w:hAnsi="Tahoma" w:cs="Tahoma"/>
        </w:rPr>
      </w:pPr>
    </w:p>
    <w:p w:rsidR="00616B06" w:rsidRDefault="00616B06" w:rsidP="00616B06">
      <w:pPr>
        <w:tabs>
          <w:tab w:val="left" w:pos="630"/>
        </w:tabs>
        <w:ind w:right="-990"/>
        <w:jc w:val="both"/>
        <w:rPr>
          <w:rFonts w:ascii="Tahoma" w:hAnsi="Tahoma" w:cs="Tahoma"/>
        </w:rPr>
      </w:pPr>
    </w:p>
    <w:p w:rsidR="00616B06" w:rsidRDefault="00616B06" w:rsidP="00616B06">
      <w:pPr>
        <w:tabs>
          <w:tab w:val="left" w:pos="630"/>
        </w:tabs>
        <w:ind w:right="-990"/>
        <w:jc w:val="both"/>
        <w:rPr>
          <w:rFonts w:ascii="Tahoma" w:hAnsi="Tahoma" w:cs="Tahoma"/>
        </w:rPr>
      </w:pPr>
    </w:p>
    <w:p w:rsidR="00636E0E" w:rsidRDefault="00636E0E"/>
    <w:sectPr w:rsidR="00636E0E" w:rsidSect="00616B06">
      <w:pgSz w:w="12240" w:h="15840"/>
      <w:pgMar w:top="45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5ABD" w:rsidRDefault="00325ABD" w:rsidP="00616B06">
      <w:r>
        <w:separator/>
      </w:r>
    </w:p>
  </w:endnote>
  <w:endnote w:type="continuationSeparator" w:id="1">
    <w:p w:rsidR="00325ABD" w:rsidRDefault="00325ABD" w:rsidP="00616B06">
      <w:r>
        <w:continuationSeparator/>
      </w:r>
    </w:p>
  </w:endnote>
  <w:endnote w:id="2">
    <w:p w:rsidR="00616B06" w:rsidRPr="005E3032" w:rsidRDefault="00616B06" w:rsidP="00616B06">
      <w:pPr>
        <w:pStyle w:val="EndnoteText"/>
        <w:spacing w:line="264" w:lineRule="auto"/>
        <w:rPr>
          <w:i/>
          <w:sz w:val="24"/>
        </w:rPr>
      </w:pPr>
      <w:r w:rsidRPr="005E3032">
        <w:rPr>
          <w:rStyle w:val="EndnoteReference"/>
          <w:sz w:val="24"/>
        </w:rPr>
        <w:endnoteRef/>
      </w:r>
      <w:r w:rsidRPr="005E3032">
        <w:rPr>
          <w:sz w:val="24"/>
        </w:rPr>
        <w:t xml:space="preserve"> See J. Ahmed, </w:t>
      </w:r>
      <w:r w:rsidRPr="005E3032">
        <w:rPr>
          <w:i/>
          <w:sz w:val="24"/>
        </w:rPr>
        <w:t xml:space="preserve">Fiqh al-Sunnah Li al-Nisa’, </w:t>
      </w:r>
      <w:r w:rsidRPr="005E3032">
        <w:rPr>
          <w:sz w:val="24"/>
        </w:rPr>
        <w:t>Dar al-Ghad al-Jadid, al-Mansurah, 2003, p.8</w:t>
      </w:r>
    </w:p>
  </w:endnote>
  <w:endnote w:id="3">
    <w:p w:rsidR="00616B06" w:rsidRPr="005E3032" w:rsidRDefault="00616B06" w:rsidP="00616B06">
      <w:pPr>
        <w:pStyle w:val="EndnoteText"/>
        <w:spacing w:line="264" w:lineRule="auto"/>
        <w:rPr>
          <w:sz w:val="24"/>
        </w:rPr>
      </w:pPr>
      <w:r w:rsidRPr="005E3032">
        <w:rPr>
          <w:rStyle w:val="EndnoteReference"/>
          <w:sz w:val="24"/>
        </w:rPr>
        <w:endnoteRef/>
      </w:r>
      <w:r w:rsidRPr="005E3032">
        <w:rPr>
          <w:sz w:val="24"/>
        </w:rPr>
        <w:t xml:space="preserve"> Ibn. Abdul</w:t>
      </w:r>
      <w:r>
        <w:rPr>
          <w:sz w:val="24"/>
        </w:rPr>
        <w:t>barr</w:t>
      </w:r>
      <w:r w:rsidRPr="005E3032">
        <w:rPr>
          <w:sz w:val="24"/>
        </w:rPr>
        <w:t xml:space="preserve"> was quoted by Y.I. Yero, “The Importance of Civil Child Education An Islamic Perspective”, in A.Y. Abdullahi</w:t>
      </w:r>
      <w:r w:rsidRPr="007A22A8">
        <w:rPr>
          <w:i/>
          <w:sz w:val="24"/>
        </w:rPr>
        <w:t>et al</w:t>
      </w:r>
      <w:r w:rsidRPr="005E3032">
        <w:rPr>
          <w:sz w:val="24"/>
        </w:rPr>
        <w:t xml:space="preserve"> (eds), </w:t>
      </w:r>
      <w:r w:rsidRPr="005E3032">
        <w:rPr>
          <w:i/>
          <w:sz w:val="24"/>
        </w:rPr>
        <w:t>Gwani Academic Journal,</w:t>
      </w:r>
      <w:r w:rsidRPr="005E3032">
        <w:rPr>
          <w:sz w:val="24"/>
        </w:rPr>
        <w:t xml:space="preserve"> Vol. 1, 2006, p. 5</w:t>
      </w:r>
    </w:p>
  </w:endnote>
  <w:endnote w:id="4">
    <w:p w:rsidR="00616B06" w:rsidRPr="005E3032" w:rsidRDefault="00616B06" w:rsidP="00616B06">
      <w:pPr>
        <w:pStyle w:val="EndnoteText"/>
        <w:spacing w:line="264" w:lineRule="auto"/>
        <w:rPr>
          <w:sz w:val="24"/>
        </w:rPr>
      </w:pPr>
      <w:r w:rsidRPr="005E3032">
        <w:rPr>
          <w:rStyle w:val="EndnoteReference"/>
          <w:sz w:val="24"/>
        </w:rPr>
        <w:endnoteRef/>
      </w:r>
      <w:r w:rsidRPr="005E3032">
        <w:rPr>
          <w:sz w:val="24"/>
        </w:rPr>
        <w:t xml:space="preserve"> A good example is Quran: </w:t>
      </w:r>
      <w:r>
        <w:rPr>
          <w:sz w:val="24"/>
        </w:rPr>
        <w:t>48: 1 – 5</w:t>
      </w:r>
      <w:r w:rsidRPr="005E3032">
        <w:rPr>
          <w:sz w:val="24"/>
        </w:rPr>
        <w:t xml:space="preserve"> in the </w:t>
      </w:r>
      <w:r>
        <w:rPr>
          <w:sz w:val="24"/>
        </w:rPr>
        <w:t>Case of Khaulah Bin</w:t>
      </w:r>
      <w:r w:rsidRPr="005E3032">
        <w:rPr>
          <w:sz w:val="24"/>
        </w:rPr>
        <w:t>t Hakim, 4:12 in the case of the wife of Sa’ad Ibn Rabi’ah</w:t>
      </w:r>
    </w:p>
  </w:endnote>
  <w:endnote w:id="5">
    <w:p w:rsidR="00616B06" w:rsidRPr="005E3032" w:rsidRDefault="00616B06" w:rsidP="00616B06">
      <w:pPr>
        <w:pStyle w:val="EndnoteText"/>
        <w:spacing w:line="264" w:lineRule="auto"/>
        <w:rPr>
          <w:sz w:val="24"/>
        </w:rPr>
      </w:pPr>
      <w:r w:rsidRPr="005E3032">
        <w:rPr>
          <w:rStyle w:val="EndnoteReference"/>
          <w:sz w:val="24"/>
        </w:rPr>
        <w:endnoteRef/>
      </w:r>
      <w:r>
        <w:rPr>
          <w:sz w:val="24"/>
        </w:rPr>
        <w:t>See Qur’an verse</w:t>
      </w:r>
      <w:r w:rsidRPr="005E3032">
        <w:rPr>
          <w:sz w:val="24"/>
        </w:rPr>
        <w:t xml:space="preserve"> 3:18;</w:t>
      </w:r>
    </w:p>
  </w:endnote>
  <w:endnote w:id="6">
    <w:p w:rsidR="00616B06" w:rsidRPr="005E3032" w:rsidRDefault="00616B06" w:rsidP="00616B06">
      <w:pPr>
        <w:pStyle w:val="EndnoteText"/>
        <w:spacing w:line="264" w:lineRule="auto"/>
        <w:rPr>
          <w:sz w:val="24"/>
        </w:rPr>
      </w:pPr>
      <w:r w:rsidRPr="005E3032">
        <w:rPr>
          <w:rStyle w:val="EndnoteReference"/>
          <w:sz w:val="24"/>
        </w:rPr>
        <w:endnoteRef/>
      </w:r>
      <w:r w:rsidRPr="005E3032">
        <w:rPr>
          <w:sz w:val="24"/>
        </w:rPr>
        <w:t xml:space="preserve"> H.A. Hussaini, “Tax System in the Sokoto Caliphate and its Impact on the Economy”</w:t>
      </w:r>
      <w:r>
        <w:rPr>
          <w:sz w:val="24"/>
        </w:rPr>
        <w:t>,</w:t>
      </w:r>
      <w:r w:rsidRPr="005E3032">
        <w:rPr>
          <w:sz w:val="24"/>
        </w:rPr>
        <w:t xml:space="preserve"> a B.A. Project submitted to the Department of Religious Studies, University of Jos, 2005, p. 33</w:t>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outhern">
    <w:altName w:val="Courier New"/>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raditional Arabic">
    <w:panose1 w:val="02020603050405020304"/>
    <w:charset w:val="00"/>
    <w:family w:val="roman"/>
    <w:pitch w:val="variable"/>
    <w:sig w:usb0="00002003" w:usb1="80000000" w:usb2="00000008" w:usb3="00000000" w:csb0="00000041" w:csb1="00000000"/>
  </w:font>
  <w:font w:name="ZJansonText-Roman">
    <w:panose1 w:val="00000000000000000000"/>
    <w:charset w:val="B2"/>
    <w:family w:val="auto"/>
    <w:notTrueType/>
    <w:pitch w:val="default"/>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AGA Arabesque">
    <w:altName w:val="Symbol"/>
    <w:panose1 w:val="05000000000000000000"/>
    <w:charset w:val="02"/>
    <w:family w:val="auto"/>
    <w:pitch w:val="variable"/>
    <w:sig w:usb0="00000000" w:usb1="10000000" w:usb2="00000000" w:usb3="00000000" w:csb0="80000000" w:csb1="00000000"/>
  </w:font>
  <w:font w:name="DMBPJO+TimesNewRoman">
    <w:altName w:val="Times New Roman"/>
    <w:panose1 w:val="00000000000000000000"/>
    <w:charset w:val="00"/>
    <w:family w:val="roman"/>
    <w:notTrueType/>
    <w:pitch w:val="default"/>
    <w:sig w:usb0="00000003" w:usb1="00000000" w:usb2="00000000" w:usb3="00000000" w:csb0="00000001" w:csb1="00000000"/>
  </w:font>
  <w:font w:name="DMCADO+TimesNewRoman,Italic">
    <w:altName w:val="Times New Roman"/>
    <w:panose1 w:val="00000000000000000000"/>
    <w:charset w:val="00"/>
    <w:family w:val="roman"/>
    <w:notTrueType/>
    <w:pitch w:val="default"/>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TTE1DDC3B8t00">
    <w:altName w:val="Times New Roman"/>
    <w:panose1 w:val="00000000000000000000"/>
    <w:charset w:val="00"/>
    <w:family w:val="auto"/>
    <w:notTrueType/>
    <w:pitch w:val="default"/>
    <w:sig w:usb0="00000003" w:usb1="00000000" w:usb2="00000000" w:usb3="00000000" w:csb0="00000001" w:csb1="00000000"/>
  </w:font>
  <w:font w:name="TTE1BA7708t0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5ABD" w:rsidRDefault="00325ABD" w:rsidP="00616B06">
      <w:r>
        <w:separator/>
      </w:r>
    </w:p>
  </w:footnote>
  <w:footnote w:type="continuationSeparator" w:id="1">
    <w:p w:rsidR="00325ABD" w:rsidRDefault="00325ABD" w:rsidP="00616B06">
      <w:r>
        <w:continuationSeparator/>
      </w:r>
    </w:p>
  </w:footnote>
  <w:footnote w:id="2">
    <w:p w:rsidR="00616B06" w:rsidRPr="007A3AD8" w:rsidRDefault="00616B06" w:rsidP="00616B06">
      <w:pPr>
        <w:pStyle w:val="FootnoteText"/>
        <w:rPr>
          <w:rFonts w:ascii="Georgia" w:hAnsi="Georgia"/>
        </w:rPr>
      </w:pPr>
      <w:r w:rsidRPr="007A3AD8">
        <w:rPr>
          <w:rStyle w:val="FootnoteReference"/>
          <w:rFonts w:ascii="Georgia" w:hAnsi="Georgia"/>
        </w:rPr>
        <w:footnoteRef/>
      </w:r>
      <w:r w:rsidRPr="007A3AD8">
        <w:rPr>
          <w:rFonts w:ascii="Georgia" w:hAnsi="Georgia"/>
        </w:rPr>
        <w:t xml:space="preserve"> al Qur’an 49: 13</w:t>
      </w:r>
    </w:p>
  </w:footnote>
  <w:footnote w:id="3">
    <w:p w:rsidR="00616B06" w:rsidRPr="007A3AD8" w:rsidRDefault="00616B06" w:rsidP="00616B06">
      <w:pPr>
        <w:pStyle w:val="FootnoteText"/>
        <w:rPr>
          <w:rFonts w:ascii="Georgia" w:hAnsi="Georgia"/>
        </w:rPr>
      </w:pPr>
      <w:r w:rsidRPr="007A3AD8">
        <w:rPr>
          <w:rStyle w:val="FootnoteReference"/>
          <w:rFonts w:ascii="Georgia" w:hAnsi="Georgia"/>
        </w:rPr>
        <w:footnoteRef/>
      </w:r>
      <w:r w:rsidRPr="007A3AD8">
        <w:rPr>
          <w:rFonts w:ascii="Georgia" w:hAnsi="Georgia"/>
        </w:rPr>
        <w:t xml:space="preserve"> Reported by Imam Ahmad 6/265, at Tirmidhi 1/195</w:t>
      </w:r>
    </w:p>
  </w:footnote>
  <w:footnote w:id="4">
    <w:p w:rsidR="00616B06" w:rsidRPr="007A3AD8" w:rsidRDefault="00616B06" w:rsidP="00616B06">
      <w:pPr>
        <w:pStyle w:val="FootnoteText"/>
        <w:rPr>
          <w:rFonts w:ascii="Georgia" w:hAnsi="Georgia"/>
        </w:rPr>
      </w:pPr>
      <w:r w:rsidRPr="007A3AD8">
        <w:rPr>
          <w:rStyle w:val="FootnoteReference"/>
          <w:rFonts w:ascii="Georgia" w:hAnsi="Georgia"/>
        </w:rPr>
        <w:footnoteRef/>
      </w:r>
      <w:r w:rsidRPr="007A3AD8">
        <w:rPr>
          <w:rFonts w:ascii="Georgia" w:hAnsi="Georgia"/>
        </w:rPr>
        <w:t xml:space="preserve"> Khan, p.134</w:t>
      </w:r>
    </w:p>
  </w:footnote>
  <w:footnote w:id="5">
    <w:p w:rsidR="00616B06" w:rsidRPr="007A3AD8" w:rsidRDefault="00616B06" w:rsidP="00616B06">
      <w:pPr>
        <w:pStyle w:val="FootnoteText"/>
        <w:rPr>
          <w:rFonts w:ascii="Georgia" w:hAnsi="Georgia"/>
        </w:rPr>
      </w:pPr>
      <w:r w:rsidRPr="007A3AD8">
        <w:rPr>
          <w:rStyle w:val="FootnoteReference"/>
          <w:rFonts w:ascii="Georgia" w:hAnsi="Georgia"/>
        </w:rPr>
        <w:footnoteRef/>
      </w:r>
      <w:r w:rsidRPr="007A3AD8">
        <w:rPr>
          <w:rFonts w:ascii="Georgia" w:hAnsi="Georgia"/>
        </w:rPr>
        <w:t xml:space="preserve"> al Qur’an 16:97 </w:t>
      </w:r>
    </w:p>
  </w:footnote>
  <w:footnote w:id="6">
    <w:p w:rsidR="00616B06" w:rsidRPr="007A3AD8" w:rsidRDefault="00616B06" w:rsidP="00616B06">
      <w:pPr>
        <w:jc w:val="both"/>
        <w:rPr>
          <w:rFonts w:ascii="Georgia" w:hAnsi="Georgia" w:cs="Tahoma"/>
          <w:sz w:val="20"/>
          <w:szCs w:val="20"/>
        </w:rPr>
      </w:pPr>
      <w:r w:rsidRPr="007A3AD8">
        <w:rPr>
          <w:rStyle w:val="FootnoteReference"/>
          <w:rFonts w:ascii="Georgia" w:hAnsi="Georgia"/>
          <w:sz w:val="20"/>
          <w:szCs w:val="20"/>
        </w:rPr>
        <w:footnoteRef/>
      </w:r>
      <w:r w:rsidRPr="007A3AD8">
        <w:rPr>
          <w:rFonts w:ascii="Georgia" w:hAnsi="Georgia"/>
          <w:sz w:val="20"/>
          <w:szCs w:val="20"/>
        </w:rPr>
        <w:t>See alsoal Qur’an 20:14 and 58:11</w:t>
      </w:r>
    </w:p>
    <w:p w:rsidR="00616B06" w:rsidRDefault="00616B06" w:rsidP="00616B06">
      <w:pPr>
        <w:pStyle w:val="FootnoteText"/>
      </w:pPr>
    </w:p>
  </w:footnote>
  <w:footnote w:id="7">
    <w:p w:rsidR="00616B06" w:rsidRDefault="00616B06" w:rsidP="00616B06">
      <w:pPr>
        <w:pStyle w:val="FootnoteText"/>
        <w:jc w:val="both"/>
      </w:pPr>
      <w:r>
        <w:rPr>
          <w:rStyle w:val="FootnoteReference"/>
        </w:rPr>
        <w:footnoteRef/>
      </w:r>
      <w:r w:rsidRPr="009C22B1">
        <w:rPr>
          <w:rFonts w:ascii="Georgia" w:hAnsi="Georgia"/>
          <w:color w:val="000000"/>
        </w:rPr>
        <w:t xml:space="preserve">She was also a great scholar of </w:t>
      </w:r>
      <w:r>
        <w:rPr>
          <w:rFonts w:ascii="Georgia" w:hAnsi="Georgia" w:cs="Arial"/>
          <w:i/>
          <w:iCs/>
          <w:color w:val="000000"/>
        </w:rPr>
        <w:t>F</w:t>
      </w:r>
      <w:r w:rsidRPr="009C22B1">
        <w:rPr>
          <w:rFonts w:ascii="Georgia" w:hAnsi="Georgia" w:cs="Arial"/>
          <w:i/>
          <w:iCs/>
          <w:color w:val="000000"/>
        </w:rPr>
        <w:t xml:space="preserve">iqh. </w:t>
      </w:r>
      <w:r w:rsidRPr="009C22B1">
        <w:rPr>
          <w:rFonts w:ascii="Georgia" w:hAnsi="Georgia"/>
          <w:color w:val="000000"/>
        </w:rPr>
        <w:t>The learned scholars of Madina</w:t>
      </w:r>
      <w:r>
        <w:rPr>
          <w:rFonts w:ascii="Georgia" w:hAnsi="Georgia"/>
          <w:color w:val="000000"/>
        </w:rPr>
        <w:t>h</w:t>
      </w:r>
      <w:r w:rsidRPr="009C22B1">
        <w:rPr>
          <w:rFonts w:ascii="Georgia" w:hAnsi="Georgia"/>
          <w:color w:val="000000"/>
        </w:rPr>
        <w:t xml:space="preserve"> like Abdu</w:t>
      </w:r>
      <w:r>
        <w:rPr>
          <w:rFonts w:ascii="Georgia" w:hAnsi="Georgia"/>
          <w:color w:val="000000"/>
        </w:rPr>
        <w:t>llahi Ibn Abbas, Abdullahi Ibn U</w:t>
      </w:r>
      <w:r w:rsidRPr="009C22B1">
        <w:rPr>
          <w:rFonts w:ascii="Georgia" w:hAnsi="Georgia"/>
          <w:color w:val="000000"/>
        </w:rPr>
        <w:t>mar, Salman Ibn Yasar, Abbad Ibn Wahid and Nafi'i used to go to learn from her.</w:t>
      </w:r>
    </w:p>
  </w:footnote>
  <w:footnote w:id="8">
    <w:p w:rsidR="00616B06" w:rsidRPr="009C22B1" w:rsidRDefault="00616B06" w:rsidP="00616B06">
      <w:pPr>
        <w:pStyle w:val="FootnoteText"/>
        <w:jc w:val="both"/>
      </w:pPr>
      <w:r>
        <w:rPr>
          <w:rStyle w:val="FootnoteReference"/>
        </w:rPr>
        <w:footnoteRef/>
      </w:r>
      <w:r w:rsidRPr="009C22B1">
        <w:rPr>
          <w:rFonts w:ascii="Georgia" w:hAnsi="Georgia"/>
          <w:color w:val="000000"/>
        </w:rPr>
        <w:t xml:space="preserve">She was the daughter of a great </w:t>
      </w:r>
      <w:r w:rsidRPr="009C22B1">
        <w:rPr>
          <w:rFonts w:ascii="Georgia" w:hAnsi="Georgia"/>
          <w:i/>
          <w:iCs/>
          <w:color w:val="000000"/>
        </w:rPr>
        <w:t xml:space="preserve">Sahabi, </w:t>
      </w:r>
      <w:r>
        <w:rPr>
          <w:rFonts w:ascii="Georgia" w:hAnsi="Georgia"/>
          <w:color w:val="000000"/>
        </w:rPr>
        <w:t>Sa'ad I</w:t>
      </w:r>
      <w:r w:rsidRPr="009C22B1">
        <w:rPr>
          <w:rFonts w:ascii="Georgia" w:hAnsi="Georgia"/>
          <w:color w:val="000000"/>
        </w:rPr>
        <w:t>bn Abi waqqas. She was very learned in Islamic sciences, to such an extent that Imam Malik, Hakam Ibn</w:t>
      </w:r>
      <w:r>
        <w:rPr>
          <w:rFonts w:ascii="Georgia" w:hAnsi="Georgia"/>
          <w:color w:val="000000"/>
        </w:rPr>
        <w:t xml:space="preserve"> Utaybah and Ayyub as S</w:t>
      </w:r>
      <w:r w:rsidRPr="009C22B1">
        <w:rPr>
          <w:rFonts w:ascii="Georgia" w:hAnsi="Georgia"/>
          <w:color w:val="000000"/>
        </w:rPr>
        <w:t>akhtiyani, the famous jurists and scho</w:t>
      </w:r>
      <w:r>
        <w:rPr>
          <w:rFonts w:ascii="Georgia" w:hAnsi="Georgia"/>
          <w:color w:val="000000"/>
        </w:rPr>
        <w:t>lars of H</w:t>
      </w:r>
      <w:r w:rsidRPr="009C22B1">
        <w:rPr>
          <w:rFonts w:ascii="Georgia" w:hAnsi="Georgia"/>
          <w:color w:val="000000"/>
        </w:rPr>
        <w:t xml:space="preserve">adith were her pupils.  </w:t>
      </w:r>
    </w:p>
    <w:p w:rsidR="00616B06" w:rsidRDefault="00616B06" w:rsidP="00616B06">
      <w:pPr>
        <w:pStyle w:val="FootnoteText"/>
      </w:pPr>
    </w:p>
  </w:footnote>
  <w:footnote w:id="9">
    <w:p w:rsidR="00616B06" w:rsidRPr="0067576C" w:rsidRDefault="00616B06" w:rsidP="00616B06">
      <w:pPr>
        <w:pStyle w:val="FootnoteText"/>
        <w:rPr>
          <w:rFonts w:ascii="Georgia" w:hAnsi="Georgia"/>
        </w:rPr>
      </w:pPr>
      <w:r w:rsidRPr="0067576C">
        <w:rPr>
          <w:rStyle w:val="FootnoteReference"/>
          <w:rFonts w:ascii="Georgia" w:hAnsi="Georgia"/>
        </w:rPr>
        <w:footnoteRef/>
      </w:r>
      <w:r w:rsidRPr="0067576C">
        <w:rPr>
          <w:rFonts w:ascii="Georgia" w:hAnsi="Georgia"/>
        </w:rPr>
        <w:t xml:space="preserve"> K. Ahmad</w:t>
      </w:r>
      <w:r w:rsidRPr="0067576C">
        <w:rPr>
          <w:rFonts w:ascii="Georgia" w:hAnsi="Georgia"/>
          <w:i/>
          <w:iCs/>
        </w:rPr>
        <w:t>, ‘Principles of Islamic Education’</w:t>
      </w:r>
      <w:r w:rsidRPr="0067576C">
        <w:rPr>
          <w:rFonts w:ascii="Georgia" w:hAnsi="Georgia"/>
        </w:rPr>
        <w:t xml:space="preserve">. </w:t>
      </w:r>
      <w:smartTag w:uri="urn:schemas-microsoft-com:office:smarttags" w:element="place">
        <w:smartTag w:uri="urn:schemas-microsoft-com:office:smarttags" w:element="country-region">
          <w:r w:rsidRPr="0067576C">
            <w:rPr>
              <w:rFonts w:ascii="Georgia" w:hAnsi="Georgia"/>
            </w:rPr>
            <w:t>Pakistan</w:t>
          </w:r>
        </w:smartTag>
      </w:smartTag>
      <w:r w:rsidRPr="0067576C">
        <w:rPr>
          <w:rFonts w:ascii="Georgia" w:hAnsi="Georgia"/>
        </w:rPr>
        <w:t>, Islamic Publications. p.3.</w:t>
      </w:r>
    </w:p>
  </w:footnote>
  <w:footnote w:id="10">
    <w:p w:rsidR="00616B06" w:rsidRPr="0067576C" w:rsidRDefault="00616B06" w:rsidP="00616B06">
      <w:pPr>
        <w:pStyle w:val="FootnoteText"/>
        <w:rPr>
          <w:rFonts w:ascii="Georgia" w:hAnsi="Georgia"/>
        </w:rPr>
      </w:pPr>
      <w:r w:rsidRPr="0067576C">
        <w:rPr>
          <w:rStyle w:val="FootnoteReference"/>
          <w:rFonts w:ascii="Georgia" w:hAnsi="Georgia"/>
        </w:rPr>
        <w:footnoteRef/>
      </w:r>
      <w:r w:rsidRPr="0067576C">
        <w:rPr>
          <w:rFonts w:ascii="Georgia" w:hAnsi="Georgia"/>
          <w:color w:val="000000"/>
        </w:rPr>
        <w:t>Dewey, John, ‘</w:t>
      </w:r>
      <w:r w:rsidRPr="0067576C">
        <w:rPr>
          <w:rFonts w:ascii="Georgia" w:hAnsi="Georgia"/>
          <w:i/>
          <w:iCs/>
          <w:color w:val="000000"/>
        </w:rPr>
        <w:t>Democracy of Education</w:t>
      </w:r>
      <w:r w:rsidRPr="0067576C">
        <w:rPr>
          <w:rFonts w:ascii="Georgia" w:hAnsi="Georgia"/>
          <w:color w:val="000000"/>
        </w:rPr>
        <w:t xml:space="preserve">’, quoted by K. Ahmad, Ibid. </w:t>
      </w:r>
    </w:p>
  </w:footnote>
  <w:footnote w:id="11">
    <w:p w:rsidR="00616B06" w:rsidRPr="0067576C" w:rsidRDefault="00616B06" w:rsidP="00616B06">
      <w:pPr>
        <w:pStyle w:val="FootnoteText"/>
        <w:rPr>
          <w:rFonts w:ascii="Georgia" w:hAnsi="Georgia"/>
        </w:rPr>
      </w:pPr>
      <w:r w:rsidRPr="0067576C">
        <w:rPr>
          <w:rStyle w:val="FootnoteReference"/>
          <w:rFonts w:ascii="Georgia" w:hAnsi="Georgia"/>
        </w:rPr>
        <w:footnoteRef/>
      </w:r>
      <w:r w:rsidRPr="0067576C">
        <w:rPr>
          <w:rFonts w:ascii="Georgia" w:hAnsi="Georgia"/>
          <w:i/>
          <w:iCs/>
          <w:color w:val="000000"/>
        </w:rPr>
        <w:t>Opcit.</w:t>
      </w:r>
    </w:p>
  </w:footnote>
  <w:footnote w:id="12">
    <w:p w:rsidR="00616B06" w:rsidRPr="004C148B" w:rsidRDefault="00616B06" w:rsidP="00616B06">
      <w:pPr>
        <w:shd w:val="clear" w:color="auto" w:fill="FFFFFF"/>
        <w:autoSpaceDE w:val="0"/>
        <w:autoSpaceDN w:val="0"/>
        <w:adjustRightInd w:val="0"/>
        <w:jc w:val="both"/>
        <w:rPr>
          <w:sz w:val="20"/>
          <w:szCs w:val="20"/>
        </w:rPr>
      </w:pPr>
      <w:r w:rsidRPr="004C148B">
        <w:rPr>
          <w:rStyle w:val="FootnoteReference"/>
          <w:sz w:val="20"/>
          <w:szCs w:val="20"/>
        </w:rPr>
        <w:footnoteRef/>
      </w:r>
      <w:r>
        <w:rPr>
          <w:sz w:val="20"/>
          <w:szCs w:val="20"/>
        </w:rPr>
        <w:t xml:space="preserve"> Al </w:t>
      </w:r>
      <w:r w:rsidRPr="004C148B">
        <w:rPr>
          <w:sz w:val="20"/>
          <w:szCs w:val="20"/>
        </w:rPr>
        <w:t>Quran, Surah 96, Verse 1-5.</w:t>
      </w:r>
    </w:p>
  </w:footnote>
  <w:footnote w:id="13">
    <w:p w:rsidR="00616B06" w:rsidRPr="0067576C" w:rsidRDefault="00616B06" w:rsidP="00616B06">
      <w:pPr>
        <w:jc w:val="both"/>
        <w:rPr>
          <w:color w:val="000000"/>
          <w:sz w:val="20"/>
          <w:szCs w:val="20"/>
        </w:rPr>
      </w:pPr>
      <w:r w:rsidRPr="004C148B">
        <w:rPr>
          <w:rStyle w:val="FootnoteReference"/>
          <w:sz w:val="20"/>
          <w:szCs w:val="20"/>
        </w:rPr>
        <w:footnoteRef/>
      </w:r>
      <w:r w:rsidRPr="004C148B">
        <w:rPr>
          <w:i/>
          <w:iCs/>
          <w:color w:val="000000"/>
          <w:sz w:val="20"/>
          <w:szCs w:val="20"/>
        </w:rPr>
        <w:t xml:space="preserve">Ibid, </w:t>
      </w:r>
      <w:r w:rsidRPr="004C148B">
        <w:rPr>
          <w:color w:val="000000"/>
          <w:sz w:val="20"/>
          <w:szCs w:val="20"/>
        </w:rPr>
        <w:t xml:space="preserve">Surah 11, Verse 61 </w:t>
      </w:r>
      <w:r w:rsidRPr="004C148B">
        <w:rPr>
          <w:i/>
          <w:iCs/>
          <w:color w:val="000000"/>
          <w:sz w:val="20"/>
          <w:szCs w:val="20"/>
        </w:rPr>
        <w:t>cf.</w:t>
      </w:r>
      <w:r>
        <w:rPr>
          <w:i/>
          <w:iCs/>
          <w:color w:val="000000"/>
          <w:sz w:val="20"/>
          <w:szCs w:val="20"/>
        </w:rPr>
        <w:t xml:space="preserve">, </w:t>
      </w:r>
      <w:r>
        <w:rPr>
          <w:color w:val="000000"/>
          <w:sz w:val="20"/>
          <w:szCs w:val="20"/>
        </w:rPr>
        <w:t>Surah 51, Verse 56.</w:t>
      </w:r>
    </w:p>
  </w:footnote>
  <w:footnote w:id="14">
    <w:p w:rsidR="00616B06" w:rsidRPr="00AC7B3F" w:rsidRDefault="00616B06" w:rsidP="00616B06">
      <w:pPr>
        <w:shd w:val="clear" w:color="auto" w:fill="FFFFFF"/>
        <w:autoSpaceDE w:val="0"/>
        <w:autoSpaceDN w:val="0"/>
        <w:adjustRightInd w:val="0"/>
        <w:jc w:val="both"/>
        <w:rPr>
          <w:color w:val="000000"/>
          <w:sz w:val="20"/>
          <w:szCs w:val="20"/>
        </w:rPr>
      </w:pPr>
      <w:r>
        <w:rPr>
          <w:rStyle w:val="FootnoteReference"/>
        </w:rPr>
        <w:footnoteRef/>
      </w:r>
      <w:r w:rsidRPr="00AC7B3F">
        <w:rPr>
          <w:i/>
          <w:iCs/>
          <w:color w:val="000000"/>
          <w:sz w:val="20"/>
          <w:szCs w:val="20"/>
        </w:rPr>
        <w:t xml:space="preserve">Ibid, </w:t>
      </w:r>
      <w:r w:rsidRPr="00AC7B3F">
        <w:rPr>
          <w:color w:val="000000"/>
          <w:sz w:val="20"/>
          <w:szCs w:val="20"/>
        </w:rPr>
        <w:t xml:space="preserve">Surah 2, Verse 164. See also al-Quran, Surah 45, Verse 4, Surah 10, Verse 6, Surah 58, Verse 11, </w:t>
      </w:r>
    </w:p>
    <w:p w:rsidR="00616B06" w:rsidRPr="00AC7B3F" w:rsidRDefault="00616B06" w:rsidP="00616B06">
      <w:pPr>
        <w:shd w:val="clear" w:color="auto" w:fill="FFFFFF"/>
        <w:autoSpaceDE w:val="0"/>
        <w:autoSpaceDN w:val="0"/>
        <w:adjustRightInd w:val="0"/>
        <w:jc w:val="both"/>
        <w:rPr>
          <w:sz w:val="20"/>
          <w:szCs w:val="20"/>
        </w:rPr>
      </w:pPr>
      <w:r w:rsidRPr="00AC7B3F">
        <w:rPr>
          <w:sz w:val="20"/>
          <w:szCs w:val="20"/>
        </w:rPr>
        <w:t xml:space="preserve">    Surah 39, Verse 9, Surah 29, Verse 43 and Surah 35, Verse 28.</w:t>
      </w:r>
    </w:p>
  </w:footnote>
  <w:footnote w:id="15">
    <w:p w:rsidR="00616B06" w:rsidRPr="00DB194B" w:rsidRDefault="00616B06" w:rsidP="00616B06">
      <w:pPr>
        <w:shd w:val="clear" w:color="auto" w:fill="FFFFFF"/>
        <w:autoSpaceDE w:val="0"/>
        <w:autoSpaceDN w:val="0"/>
        <w:adjustRightInd w:val="0"/>
        <w:jc w:val="both"/>
        <w:rPr>
          <w:i/>
          <w:iCs/>
          <w:color w:val="000000"/>
          <w:sz w:val="20"/>
          <w:szCs w:val="20"/>
        </w:rPr>
      </w:pPr>
      <w:r>
        <w:rPr>
          <w:rStyle w:val="FootnoteReference"/>
        </w:rPr>
        <w:footnoteRef/>
      </w:r>
      <w:r>
        <w:rPr>
          <w:color w:val="000000"/>
          <w:sz w:val="20"/>
          <w:szCs w:val="20"/>
        </w:rPr>
        <w:t xml:space="preserve">Khaleel, </w:t>
      </w:r>
      <w:smartTag w:uri="urn:schemas-microsoft-com:office:smarttags" w:element="place">
        <w:r>
          <w:rPr>
            <w:color w:val="000000"/>
            <w:sz w:val="20"/>
            <w:szCs w:val="20"/>
          </w:rPr>
          <w:t>I.</w:t>
        </w:r>
      </w:smartTag>
      <w:r>
        <w:rPr>
          <w:color w:val="000000"/>
          <w:sz w:val="20"/>
          <w:szCs w:val="20"/>
        </w:rPr>
        <w:t xml:space="preserve"> (1</w:t>
      </w:r>
      <w:r w:rsidRPr="00AC7B3F">
        <w:rPr>
          <w:color w:val="000000"/>
          <w:sz w:val="20"/>
          <w:szCs w:val="20"/>
        </w:rPr>
        <w:t xml:space="preserve">994), </w:t>
      </w:r>
      <w:r>
        <w:rPr>
          <w:color w:val="000000"/>
          <w:sz w:val="20"/>
          <w:szCs w:val="20"/>
        </w:rPr>
        <w:t>‘</w:t>
      </w:r>
      <w:r w:rsidRPr="00DB194B">
        <w:rPr>
          <w:i/>
          <w:iCs/>
          <w:color w:val="000000"/>
          <w:sz w:val="20"/>
          <w:szCs w:val="20"/>
        </w:rPr>
        <w:t xml:space="preserve">The Quran and Modern Sciences Observations on Methodology in The Quran and </w:t>
      </w:r>
    </w:p>
    <w:p w:rsidR="00616B06" w:rsidRPr="00224AF4" w:rsidRDefault="00616B06" w:rsidP="00616B06">
      <w:pPr>
        <w:shd w:val="clear" w:color="auto" w:fill="FFFFFF"/>
        <w:autoSpaceDE w:val="0"/>
        <w:autoSpaceDN w:val="0"/>
        <w:adjustRightInd w:val="0"/>
        <w:jc w:val="both"/>
        <w:rPr>
          <w:sz w:val="20"/>
          <w:szCs w:val="20"/>
        </w:rPr>
      </w:pPr>
      <w:r w:rsidRPr="00DB194B">
        <w:rPr>
          <w:i/>
          <w:iCs/>
          <w:sz w:val="20"/>
          <w:szCs w:val="20"/>
        </w:rPr>
        <w:t>Sunnah; The Time Space Factor</w:t>
      </w:r>
      <w:r>
        <w:rPr>
          <w:i/>
          <w:iCs/>
          <w:sz w:val="20"/>
          <w:szCs w:val="20"/>
        </w:rPr>
        <w:t>’</w:t>
      </w:r>
      <w:r w:rsidRPr="00224AF4">
        <w:rPr>
          <w:sz w:val="20"/>
          <w:szCs w:val="20"/>
        </w:rPr>
        <w:t>.</w:t>
      </w:r>
    </w:p>
  </w:footnote>
  <w:footnote w:id="16">
    <w:p w:rsidR="00616B06" w:rsidRPr="00AB0E26" w:rsidRDefault="00616B06" w:rsidP="00616B06">
      <w:pPr>
        <w:pStyle w:val="FootnoteText"/>
        <w:rPr>
          <w:i/>
          <w:iCs/>
        </w:rPr>
      </w:pPr>
      <w:r>
        <w:rPr>
          <w:rStyle w:val="FootnoteReference"/>
        </w:rPr>
        <w:footnoteRef/>
      </w:r>
      <w:r w:rsidRPr="00AB0E26">
        <w:rPr>
          <w:i/>
          <w:iCs/>
        </w:rPr>
        <w:t>Ibid.</w:t>
      </w:r>
    </w:p>
  </w:footnote>
  <w:footnote w:id="17">
    <w:p w:rsidR="00616B06" w:rsidRPr="009A0967" w:rsidRDefault="00616B06" w:rsidP="00616B06">
      <w:pPr>
        <w:pStyle w:val="FootnoteText"/>
        <w:rPr>
          <w:rFonts w:ascii="Georgia" w:hAnsi="Georgia"/>
        </w:rPr>
      </w:pPr>
      <w:r w:rsidRPr="00467B1B">
        <w:rPr>
          <w:rStyle w:val="FootnoteReference"/>
        </w:rPr>
        <w:footnoteRef/>
      </w:r>
      <w:r w:rsidRPr="009A0967">
        <w:rPr>
          <w:rFonts w:ascii="Georgia" w:hAnsi="Georgia"/>
        </w:rPr>
        <w:t xml:space="preserve">Al-Quran, Surah 58, Verse 12, </w:t>
      </w:r>
      <w:r w:rsidRPr="009A0967">
        <w:rPr>
          <w:rFonts w:ascii="Georgia" w:hAnsi="Georgia"/>
          <w:color w:val="000000"/>
        </w:rPr>
        <w:t>Surah 3, Verse 18, 39, Verse 10, 10, Verse 269, 68, Verse 1, 6, Verse 96-97, 22, Verse 08, 35, Verse 28, etc.</w:t>
      </w:r>
    </w:p>
  </w:footnote>
  <w:footnote w:id="18">
    <w:p w:rsidR="00616B06" w:rsidRPr="00614151" w:rsidRDefault="00616B06" w:rsidP="00616B06">
      <w:pPr>
        <w:pStyle w:val="FootnoteText"/>
        <w:rPr>
          <w:rFonts w:ascii="Georgia" w:hAnsi="Georgia"/>
        </w:rPr>
      </w:pPr>
      <w:r>
        <w:rPr>
          <w:rStyle w:val="FootnoteReference"/>
        </w:rPr>
        <w:footnoteRef/>
      </w:r>
      <w:r w:rsidRPr="00614151">
        <w:rPr>
          <w:rFonts w:ascii="Georgia" w:hAnsi="Georgia"/>
        </w:rPr>
        <w:t>See translation and commentary of Verse 67, Surah 8 in ‘</w:t>
      </w:r>
      <w:r w:rsidRPr="00614151">
        <w:rPr>
          <w:rFonts w:ascii="Georgia" w:hAnsi="Georgia"/>
          <w:i/>
          <w:iCs/>
        </w:rPr>
        <w:t>al Jami’ li Ahkam al Quran’</w:t>
      </w:r>
      <w:r w:rsidRPr="00614151">
        <w:rPr>
          <w:rFonts w:ascii="Georgia" w:hAnsi="Georgia"/>
        </w:rPr>
        <w:t xml:space="preserve"> by Abu Abdillahi Muhammad bin Ahmad al Ansari al Qurtubi, Volume 8, Page 45.</w:t>
      </w:r>
    </w:p>
  </w:footnote>
  <w:footnote w:id="19">
    <w:p w:rsidR="00616B06" w:rsidRPr="006379FA" w:rsidRDefault="00616B06" w:rsidP="00616B06">
      <w:pPr>
        <w:shd w:val="clear" w:color="auto" w:fill="FFFFFF"/>
        <w:autoSpaceDE w:val="0"/>
        <w:autoSpaceDN w:val="0"/>
        <w:adjustRightInd w:val="0"/>
        <w:jc w:val="both"/>
        <w:rPr>
          <w:sz w:val="20"/>
          <w:szCs w:val="20"/>
        </w:rPr>
      </w:pPr>
      <w:r w:rsidRPr="006379FA">
        <w:rPr>
          <w:rStyle w:val="FootnoteReference"/>
          <w:sz w:val="20"/>
          <w:szCs w:val="20"/>
        </w:rPr>
        <w:footnoteRef/>
      </w:r>
      <w:r>
        <w:rPr>
          <w:sz w:val="20"/>
          <w:szCs w:val="20"/>
        </w:rPr>
        <w:t xml:space="preserve"> ‘</w:t>
      </w:r>
      <w:r w:rsidRPr="0073247A">
        <w:rPr>
          <w:rFonts w:ascii="Georgia" w:hAnsi="Georgia"/>
          <w:i/>
          <w:iCs/>
          <w:color w:val="000000"/>
          <w:sz w:val="20"/>
          <w:szCs w:val="20"/>
        </w:rPr>
        <w:t>The acquisition of knowledge is compulsory upon every Muslim’</w:t>
      </w:r>
      <w:r>
        <w:rPr>
          <w:color w:val="000000"/>
          <w:sz w:val="26"/>
        </w:rPr>
        <w:t xml:space="preserve">. </w:t>
      </w:r>
      <w:r>
        <w:rPr>
          <w:sz w:val="20"/>
          <w:szCs w:val="20"/>
        </w:rPr>
        <w:t>This Hadi</w:t>
      </w:r>
      <w:r w:rsidRPr="006379FA">
        <w:rPr>
          <w:sz w:val="20"/>
          <w:szCs w:val="20"/>
        </w:rPr>
        <w:t xml:space="preserve">th is </w:t>
      </w:r>
      <w:r w:rsidRPr="006379FA">
        <w:rPr>
          <w:i/>
          <w:iCs/>
          <w:sz w:val="20"/>
          <w:szCs w:val="20"/>
        </w:rPr>
        <w:t>Hasan.</w:t>
      </w:r>
      <w:r w:rsidRPr="006379FA">
        <w:rPr>
          <w:sz w:val="20"/>
          <w:szCs w:val="20"/>
        </w:rPr>
        <w:t xml:space="preserve"> It was narrated by Anas bin Malik, 'Abdullahi Ibn Mas'ud, Abu Sa'eed al-Khudri, 'Abdullahi Ibn 'Abbas, Hussain Ibn </w:t>
      </w:r>
      <w:r>
        <w:rPr>
          <w:sz w:val="20"/>
          <w:szCs w:val="20"/>
        </w:rPr>
        <w:t>‘</w:t>
      </w:r>
      <w:r w:rsidRPr="006379FA">
        <w:rPr>
          <w:sz w:val="20"/>
          <w:szCs w:val="20"/>
        </w:rPr>
        <w:t xml:space="preserve">Aliyu bin Abi Talib and Jabir bin 'Abdullahi. See 'AbduI-Barr, A.Y.(1997), </w:t>
      </w:r>
      <w:r>
        <w:rPr>
          <w:sz w:val="20"/>
          <w:szCs w:val="20"/>
        </w:rPr>
        <w:t>‘</w:t>
      </w:r>
      <w:r w:rsidRPr="00DB194B">
        <w:rPr>
          <w:i/>
          <w:iCs/>
          <w:sz w:val="20"/>
          <w:szCs w:val="20"/>
        </w:rPr>
        <w:t xml:space="preserve">Jami'u </w:t>
      </w:r>
      <w:r>
        <w:rPr>
          <w:i/>
          <w:iCs/>
          <w:sz w:val="20"/>
          <w:szCs w:val="20"/>
        </w:rPr>
        <w:t>Bay</w:t>
      </w:r>
      <w:r w:rsidRPr="00DB194B">
        <w:rPr>
          <w:i/>
          <w:iCs/>
          <w:sz w:val="20"/>
          <w:szCs w:val="20"/>
        </w:rPr>
        <w:t xml:space="preserve">an </w:t>
      </w:r>
      <w:r>
        <w:rPr>
          <w:i/>
          <w:iCs/>
          <w:sz w:val="20"/>
          <w:szCs w:val="20"/>
        </w:rPr>
        <w:t xml:space="preserve">al-'Ilm </w:t>
      </w:r>
      <w:r w:rsidRPr="00DB194B">
        <w:rPr>
          <w:i/>
          <w:iCs/>
          <w:sz w:val="20"/>
          <w:szCs w:val="20"/>
        </w:rPr>
        <w:t xml:space="preserve"> wa </w:t>
      </w:r>
      <w:r>
        <w:rPr>
          <w:i/>
          <w:iCs/>
          <w:sz w:val="20"/>
          <w:szCs w:val="20"/>
        </w:rPr>
        <w:t xml:space="preserve">Fadlihi’ </w:t>
      </w:r>
      <w:smartTag w:uri="urn:schemas-microsoft-com:office:smarttags" w:element="City">
        <w:smartTag w:uri="urn:schemas-microsoft-com:office:smarttags" w:element="place">
          <w:r w:rsidRPr="006379FA">
            <w:rPr>
              <w:sz w:val="20"/>
              <w:szCs w:val="20"/>
            </w:rPr>
            <w:t>Riyadh</w:t>
          </w:r>
        </w:smartTag>
      </w:smartTag>
      <w:r w:rsidRPr="006379FA">
        <w:rPr>
          <w:sz w:val="20"/>
          <w:szCs w:val="20"/>
        </w:rPr>
        <w:t xml:space="preserve">, Dar Ibn al-Jauzi and Ibn Majah, Muqaddimah: 17. </w:t>
      </w:r>
      <w:r>
        <w:rPr>
          <w:sz w:val="20"/>
          <w:szCs w:val="20"/>
        </w:rPr>
        <w:t xml:space="preserve"> Other similar narrations include,  </w:t>
      </w:r>
      <w:r w:rsidRPr="0073247A">
        <w:rPr>
          <w:rFonts w:ascii="Georgia" w:hAnsi="Georgia"/>
          <w:i/>
          <w:iCs/>
          <w:color w:val="000000"/>
          <w:sz w:val="20"/>
          <w:szCs w:val="20"/>
        </w:rPr>
        <w:t>The only things that one should envy from other people (if at all) are two; wealth expended for Allah’s service and knowledge that is acted upon and communicatedto others’, ‘When Allah intends good for a person, He makes him well versed in the religion and such knowledge comes from learning’, ‘When a person dies his actions come to an end except in respect of three matters that he leaves behind; a continuing charity, knowledge from which benefit could be derived and righteous child who prays for him’, 'For him who follows a path for seeking knowledge, Allah will ease the way toParadise’, ‘Verily, Allah does not keep knowledge as a thing apart that He withholds from Hisservants, but He doth keep it in the grasp of men of men of knowledge so that Heshall cause not a man of knowledge to remain, mankind will take foolish heads,and they will be questioned and give Fatwa (religious legal decisions) and theywill err and lead others into error , ‘He who is asked about knowledge and conceals it will be bridled on the Day of Judgment with a bridle of fire’</w:t>
      </w:r>
      <w:r>
        <w:rPr>
          <w:rFonts w:ascii="Georgia" w:hAnsi="Georgia"/>
          <w:i/>
          <w:iCs/>
          <w:color w:val="000000"/>
          <w:sz w:val="20"/>
          <w:szCs w:val="20"/>
        </w:rPr>
        <w:t>,</w:t>
      </w:r>
      <w:r w:rsidRPr="0073247A">
        <w:rPr>
          <w:rFonts w:ascii="Georgia" w:hAnsi="Georgia"/>
          <w:i/>
          <w:iCs/>
          <w:color w:val="000000"/>
          <w:sz w:val="20"/>
          <w:szCs w:val="20"/>
        </w:rPr>
        <w:t xml:space="preserve"> ‘The world is accursed and so is all that is in it save only the remembrance ofAllah and that which pleases Allah, and the learned and the scholars’</w:t>
      </w:r>
      <w:r>
        <w:rPr>
          <w:rFonts w:ascii="Georgia" w:hAnsi="Georgia"/>
          <w:i/>
          <w:iCs/>
          <w:color w:val="000000"/>
          <w:sz w:val="20"/>
          <w:szCs w:val="20"/>
        </w:rPr>
        <w:t xml:space="preserve">, etc. For further details see, </w:t>
      </w:r>
      <w:r>
        <w:rPr>
          <w:color w:val="000000"/>
          <w:sz w:val="20"/>
          <w:szCs w:val="20"/>
        </w:rPr>
        <w:t>The Hadi</w:t>
      </w:r>
      <w:r w:rsidRPr="00A87262">
        <w:rPr>
          <w:color w:val="000000"/>
          <w:sz w:val="20"/>
          <w:szCs w:val="20"/>
        </w:rPr>
        <w:t xml:space="preserve">th is authentic and related by Ibn Mas'ud. See </w:t>
      </w:r>
      <w:r w:rsidRPr="009111BA">
        <w:rPr>
          <w:color w:val="000000"/>
          <w:sz w:val="20"/>
          <w:szCs w:val="20"/>
        </w:rPr>
        <w:t xml:space="preserve">Bukhari </w:t>
      </w:r>
      <w:r w:rsidRPr="009111BA">
        <w:rPr>
          <w:i/>
          <w:iCs/>
          <w:color w:val="000000"/>
          <w:sz w:val="20"/>
          <w:szCs w:val="20"/>
        </w:rPr>
        <w:t>Sahih;</w:t>
      </w:r>
      <w:r>
        <w:rPr>
          <w:color w:val="000000"/>
          <w:sz w:val="20"/>
          <w:szCs w:val="20"/>
        </w:rPr>
        <w:t xml:space="preserve"> Kitab Tamanni;5 and Kitab</w:t>
      </w:r>
      <w:r w:rsidRPr="005E5B22">
        <w:rPr>
          <w:sz w:val="20"/>
          <w:szCs w:val="20"/>
        </w:rPr>
        <w:t>al-Tauhid:45</w:t>
      </w:r>
      <w:r>
        <w:rPr>
          <w:sz w:val="20"/>
          <w:szCs w:val="20"/>
        </w:rPr>
        <w:t xml:space="preserve">, </w:t>
      </w:r>
      <w:r>
        <w:rPr>
          <w:color w:val="000000"/>
          <w:sz w:val="20"/>
          <w:szCs w:val="20"/>
        </w:rPr>
        <w:t xml:space="preserve">BukhariSahih; </w:t>
      </w:r>
      <w:r w:rsidRPr="006C63AE">
        <w:rPr>
          <w:i/>
          <w:iCs/>
          <w:color w:val="000000"/>
          <w:sz w:val="20"/>
          <w:szCs w:val="20"/>
        </w:rPr>
        <w:t>Kitab al-</w:t>
      </w:r>
      <w:r w:rsidRPr="006C63AE">
        <w:rPr>
          <w:i/>
          <w:iCs/>
          <w:color w:val="000000"/>
          <w:sz w:val="20"/>
          <w:szCs w:val="20"/>
          <w:vertAlign w:val="superscript"/>
        </w:rPr>
        <w:t>‘</w:t>
      </w:r>
      <w:r w:rsidRPr="006C63AE">
        <w:rPr>
          <w:i/>
          <w:iCs/>
          <w:color w:val="000000"/>
          <w:sz w:val="20"/>
          <w:szCs w:val="20"/>
        </w:rPr>
        <w:t>llm</w:t>
      </w:r>
      <w:r>
        <w:rPr>
          <w:color w:val="000000"/>
          <w:sz w:val="20"/>
          <w:szCs w:val="20"/>
        </w:rPr>
        <w:t>:10, al-Khums: 7</w:t>
      </w:r>
      <w:r w:rsidRPr="006C63AE">
        <w:rPr>
          <w:i/>
          <w:iCs/>
          <w:color w:val="000000"/>
          <w:sz w:val="20"/>
          <w:szCs w:val="20"/>
        </w:rPr>
        <w:t>, ‘Itisam</w:t>
      </w:r>
      <w:r>
        <w:rPr>
          <w:color w:val="000000"/>
          <w:sz w:val="20"/>
          <w:szCs w:val="20"/>
        </w:rPr>
        <w:t>: 10 and Muslim Sahih;</w:t>
      </w:r>
      <w:r w:rsidRPr="006C63AE">
        <w:rPr>
          <w:i/>
          <w:iCs/>
          <w:color w:val="000000"/>
          <w:sz w:val="20"/>
          <w:szCs w:val="20"/>
        </w:rPr>
        <w:t>Kitab al-'Imarat</w:t>
      </w:r>
      <w:r w:rsidRPr="005E5B22">
        <w:rPr>
          <w:color w:val="000000"/>
          <w:sz w:val="20"/>
          <w:szCs w:val="20"/>
        </w:rPr>
        <w:t xml:space="preserve">:175, </w:t>
      </w:r>
      <w:r>
        <w:rPr>
          <w:sz w:val="20"/>
          <w:szCs w:val="20"/>
        </w:rPr>
        <w:t xml:space="preserve">Zakat: 97 and 100, </w:t>
      </w:r>
      <w:r w:rsidRPr="00EF13D8">
        <w:rPr>
          <w:sz w:val="20"/>
          <w:szCs w:val="20"/>
        </w:rPr>
        <w:t xml:space="preserve">Bukhari Sahih; Kitab al-'Ilm; 34, Tirmidhi </w:t>
      </w:r>
      <w:r w:rsidRPr="006C63AE">
        <w:rPr>
          <w:i/>
          <w:iCs/>
          <w:sz w:val="20"/>
          <w:szCs w:val="20"/>
        </w:rPr>
        <w:t>al Jami’i</w:t>
      </w:r>
      <w:r w:rsidRPr="00EF13D8">
        <w:rPr>
          <w:sz w:val="20"/>
          <w:szCs w:val="20"/>
        </w:rPr>
        <w:t xml:space="preserve">; </w:t>
      </w:r>
      <w:r w:rsidRPr="006C63AE">
        <w:rPr>
          <w:i/>
          <w:iCs/>
          <w:sz w:val="20"/>
          <w:szCs w:val="20"/>
        </w:rPr>
        <w:t>Kitab al-'Ilm</w:t>
      </w:r>
      <w:r w:rsidRPr="00EF13D8">
        <w:rPr>
          <w:sz w:val="20"/>
          <w:szCs w:val="20"/>
        </w:rPr>
        <w:t xml:space="preserve">; 3, Abu Dawud Sunan; </w:t>
      </w:r>
      <w:r w:rsidRPr="006C63AE">
        <w:rPr>
          <w:i/>
          <w:iCs/>
          <w:sz w:val="20"/>
          <w:szCs w:val="20"/>
        </w:rPr>
        <w:t>Kitab al-'Ilm</w:t>
      </w:r>
      <w:r w:rsidRPr="00EF13D8">
        <w:rPr>
          <w:sz w:val="20"/>
          <w:szCs w:val="20"/>
        </w:rPr>
        <w:t xml:space="preserve">; l, Ibn Majah </w:t>
      </w:r>
      <w:r w:rsidRPr="006C63AE">
        <w:rPr>
          <w:i/>
          <w:iCs/>
          <w:sz w:val="20"/>
          <w:szCs w:val="20"/>
        </w:rPr>
        <w:t>Muqaddimah;</w:t>
      </w:r>
      <w:r w:rsidRPr="00EF13D8">
        <w:rPr>
          <w:sz w:val="20"/>
          <w:szCs w:val="20"/>
        </w:rPr>
        <w:t xml:space="preserve"> 17 and Ahmad bin Hanbal Sunan; 3,252,235 and 407</w:t>
      </w:r>
      <w:r>
        <w:rPr>
          <w:sz w:val="20"/>
          <w:szCs w:val="20"/>
        </w:rPr>
        <w:t xml:space="preserve">, </w:t>
      </w:r>
      <w:r w:rsidRPr="00EF13D8">
        <w:rPr>
          <w:sz w:val="20"/>
          <w:szCs w:val="20"/>
        </w:rPr>
        <w:t xml:space="preserve">Bukhari Sahih; Kitab al-'Ilm; 34, Tirmidhi </w:t>
      </w:r>
      <w:r w:rsidRPr="006C63AE">
        <w:rPr>
          <w:i/>
          <w:iCs/>
          <w:sz w:val="20"/>
          <w:szCs w:val="20"/>
        </w:rPr>
        <w:t>al Jami’i</w:t>
      </w:r>
      <w:r w:rsidRPr="00EF13D8">
        <w:rPr>
          <w:sz w:val="20"/>
          <w:szCs w:val="20"/>
        </w:rPr>
        <w:t xml:space="preserve">; </w:t>
      </w:r>
      <w:r w:rsidRPr="006C63AE">
        <w:rPr>
          <w:i/>
          <w:iCs/>
          <w:sz w:val="20"/>
          <w:szCs w:val="20"/>
        </w:rPr>
        <w:t>Kitab al-'Ilm</w:t>
      </w:r>
      <w:r w:rsidRPr="00EF13D8">
        <w:rPr>
          <w:sz w:val="20"/>
          <w:szCs w:val="20"/>
        </w:rPr>
        <w:t xml:space="preserve">; 3, Abu Dawud Sunan; </w:t>
      </w:r>
      <w:r w:rsidRPr="006C63AE">
        <w:rPr>
          <w:i/>
          <w:iCs/>
          <w:sz w:val="20"/>
          <w:szCs w:val="20"/>
        </w:rPr>
        <w:t>Kitab al-'Ilm</w:t>
      </w:r>
      <w:r w:rsidRPr="00EF13D8">
        <w:rPr>
          <w:sz w:val="20"/>
          <w:szCs w:val="20"/>
        </w:rPr>
        <w:t xml:space="preserve">; l, Ibn Majah </w:t>
      </w:r>
      <w:r w:rsidRPr="006C63AE">
        <w:rPr>
          <w:i/>
          <w:iCs/>
          <w:sz w:val="20"/>
          <w:szCs w:val="20"/>
        </w:rPr>
        <w:t>Muqaddimah;</w:t>
      </w:r>
      <w:r w:rsidRPr="00EF13D8">
        <w:rPr>
          <w:sz w:val="20"/>
          <w:szCs w:val="20"/>
        </w:rPr>
        <w:t xml:space="preserve"> 17 and Ahmad bin Hanbal Sunan; 3,252,235 and 407.</w:t>
      </w:r>
    </w:p>
  </w:footnote>
  <w:footnote w:id="20">
    <w:p w:rsidR="00616B06" w:rsidRPr="005B3711" w:rsidRDefault="00616B06" w:rsidP="00616B06">
      <w:pPr>
        <w:jc w:val="both"/>
        <w:rPr>
          <w:color w:val="000000"/>
          <w:sz w:val="20"/>
          <w:szCs w:val="20"/>
        </w:rPr>
      </w:pPr>
      <w:r w:rsidRPr="005B3711">
        <w:rPr>
          <w:rStyle w:val="FootnoteReference"/>
          <w:sz w:val="20"/>
          <w:szCs w:val="20"/>
        </w:rPr>
        <w:footnoteRef/>
      </w:r>
      <w:r w:rsidRPr="005B3711">
        <w:rPr>
          <w:sz w:val="20"/>
          <w:szCs w:val="20"/>
        </w:rPr>
        <w:t xml:space="preserve"> See his book, </w:t>
      </w:r>
      <w:r>
        <w:rPr>
          <w:sz w:val="20"/>
          <w:szCs w:val="20"/>
        </w:rPr>
        <w:t>‘</w:t>
      </w:r>
      <w:r w:rsidRPr="005B3711">
        <w:rPr>
          <w:i/>
          <w:iCs/>
          <w:sz w:val="20"/>
          <w:szCs w:val="20"/>
        </w:rPr>
        <w:t>Miftah Dar al-Sa'adah wa Manshur al-Wilayat al-'Ilm wa al-Iradah</w:t>
      </w:r>
      <w:r>
        <w:rPr>
          <w:i/>
          <w:iCs/>
          <w:sz w:val="20"/>
          <w:szCs w:val="20"/>
        </w:rPr>
        <w:t>’</w:t>
      </w:r>
      <w:r w:rsidRPr="005B3711">
        <w:rPr>
          <w:sz w:val="20"/>
          <w:szCs w:val="20"/>
        </w:rPr>
        <w:t>.</w:t>
      </w:r>
    </w:p>
  </w:footnote>
  <w:footnote w:id="21">
    <w:p w:rsidR="00616B06" w:rsidRPr="005B3711" w:rsidRDefault="00616B06" w:rsidP="00616B06">
      <w:pPr>
        <w:jc w:val="both"/>
        <w:rPr>
          <w:color w:val="000000"/>
          <w:sz w:val="20"/>
          <w:szCs w:val="20"/>
        </w:rPr>
      </w:pPr>
      <w:r w:rsidRPr="005B3711">
        <w:rPr>
          <w:rStyle w:val="FootnoteReference"/>
          <w:sz w:val="20"/>
          <w:szCs w:val="20"/>
        </w:rPr>
        <w:footnoteRef/>
      </w:r>
      <w:r w:rsidRPr="005B3711">
        <w:rPr>
          <w:color w:val="000000"/>
          <w:sz w:val="20"/>
          <w:szCs w:val="20"/>
        </w:rPr>
        <w:t>Naqvi S.H. ‘</w:t>
      </w:r>
      <w:r w:rsidRPr="005B3711">
        <w:rPr>
          <w:i/>
          <w:iCs/>
          <w:color w:val="000000"/>
          <w:sz w:val="20"/>
          <w:szCs w:val="20"/>
        </w:rPr>
        <w:t xml:space="preserve">Islam and the Development of Science’,  </w:t>
      </w:r>
      <w:r w:rsidRPr="005B3711">
        <w:rPr>
          <w:color w:val="000000"/>
          <w:sz w:val="20"/>
          <w:szCs w:val="20"/>
        </w:rPr>
        <w:t xml:space="preserve">the Nigerian Journal of Islam, Vol. 2, No. 1, June </w:t>
      </w:r>
    </w:p>
    <w:p w:rsidR="00616B06" w:rsidRPr="005B3711" w:rsidRDefault="00616B06" w:rsidP="00616B06">
      <w:pPr>
        <w:jc w:val="both"/>
        <w:rPr>
          <w:color w:val="000000"/>
          <w:sz w:val="20"/>
          <w:szCs w:val="20"/>
        </w:rPr>
      </w:pPr>
      <w:r w:rsidRPr="005B3711">
        <w:rPr>
          <w:sz w:val="20"/>
          <w:szCs w:val="20"/>
        </w:rPr>
        <w:t xml:space="preserve">   1971-January, 1972. </w:t>
      </w:r>
    </w:p>
  </w:footnote>
  <w:footnote w:id="22">
    <w:p w:rsidR="00616B06" w:rsidRPr="00622ADF" w:rsidRDefault="00616B06" w:rsidP="00616B06">
      <w:pPr>
        <w:pStyle w:val="FootnoteText"/>
        <w:rPr>
          <w:rFonts w:ascii="Georgia" w:hAnsi="Georgia"/>
          <w:lang w:val="en-GB"/>
        </w:rPr>
      </w:pPr>
      <w:r w:rsidRPr="00933D8B">
        <w:rPr>
          <w:rStyle w:val="FootnoteReference"/>
        </w:rPr>
        <w:footnoteRef/>
      </w:r>
      <w:r w:rsidRPr="00622ADF">
        <w:rPr>
          <w:rFonts w:ascii="Georgia" w:hAnsi="Georgia"/>
          <w:color w:val="000000"/>
        </w:rPr>
        <w:t>Al-Attas N.M. (1979), ‘</w:t>
      </w:r>
      <w:r w:rsidRPr="00622ADF">
        <w:rPr>
          <w:rFonts w:ascii="Georgia" w:hAnsi="Georgia"/>
          <w:i/>
          <w:iCs/>
          <w:color w:val="000000"/>
        </w:rPr>
        <w:t>Aims and Objectives of Islamic. Education’.</w:t>
      </w:r>
      <w:r w:rsidRPr="00622ADF">
        <w:rPr>
          <w:rFonts w:ascii="Georgia" w:hAnsi="Georgia"/>
          <w:lang w:val="en-GB"/>
        </w:rPr>
        <w:t xml:space="preserve">(Edition). Jeddah, King Abdul Aziz University. </w:t>
      </w:r>
      <w:r w:rsidRPr="00622ADF">
        <w:rPr>
          <w:rFonts w:ascii="Georgia" w:hAnsi="Georgia"/>
          <w:color w:val="000000"/>
        </w:rPr>
        <w:t>pp.158-159.</w:t>
      </w:r>
    </w:p>
  </w:footnote>
  <w:footnote w:id="23">
    <w:p w:rsidR="00616B06" w:rsidRPr="00622ADF" w:rsidRDefault="00616B06" w:rsidP="00616B06">
      <w:pPr>
        <w:shd w:val="clear" w:color="auto" w:fill="FFFFFF"/>
        <w:autoSpaceDE w:val="0"/>
        <w:autoSpaceDN w:val="0"/>
        <w:adjustRightInd w:val="0"/>
        <w:jc w:val="both"/>
        <w:rPr>
          <w:rFonts w:ascii="Georgia" w:hAnsi="Georgia"/>
          <w:sz w:val="20"/>
          <w:szCs w:val="20"/>
        </w:rPr>
      </w:pPr>
      <w:r w:rsidRPr="00622ADF">
        <w:rPr>
          <w:rStyle w:val="FootnoteReference"/>
          <w:rFonts w:ascii="Georgia" w:hAnsi="Georgia"/>
          <w:sz w:val="20"/>
          <w:szCs w:val="20"/>
        </w:rPr>
        <w:footnoteRef/>
      </w:r>
      <w:r w:rsidRPr="00622ADF">
        <w:rPr>
          <w:rFonts w:ascii="Georgia" w:hAnsi="Georgia"/>
          <w:sz w:val="20"/>
          <w:szCs w:val="20"/>
        </w:rPr>
        <w:t xml:space="preserve"> Tahan, M. M. ‘</w:t>
      </w:r>
      <w:r w:rsidRPr="00622ADF">
        <w:rPr>
          <w:rFonts w:ascii="Georgia" w:hAnsi="Georgia"/>
          <w:i/>
          <w:iCs/>
          <w:sz w:val="20"/>
          <w:szCs w:val="20"/>
        </w:rPr>
        <w:t>Muslim Educational Training’.</w:t>
      </w:r>
      <w:smartTag w:uri="urn:schemas-microsoft-com:office:smarttags" w:element="place">
        <w:smartTag w:uri="urn:schemas-microsoft-com:office:smarttags" w:element="country-region">
          <w:r w:rsidRPr="00622ADF">
            <w:rPr>
              <w:rFonts w:ascii="Georgia" w:hAnsi="Georgia"/>
              <w:sz w:val="20"/>
              <w:szCs w:val="20"/>
            </w:rPr>
            <w:t>Kuwait</w:t>
          </w:r>
        </w:smartTag>
      </w:smartTag>
      <w:r w:rsidRPr="00622ADF">
        <w:rPr>
          <w:rFonts w:ascii="Georgia" w:hAnsi="Georgia"/>
          <w:sz w:val="20"/>
          <w:szCs w:val="20"/>
        </w:rPr>
        <w:t>,  Dar al-Watha'eq, p.46.</w:t>
      </w:r>
    </w:p>
  </w:footnote>
  <w:footnote w:id="24">
    <w:p w:rsidR="00616B06" w:rsidRPr="00622ADF" w:rsidRDefault="00616B06" w:rsidP="00616B06">
      <w:pPr>
        <w:jc w:val="both"/>
        <w:rPr>
          <w:rFonts w:ascii="Georgia" w:hAnsi="Georgia"/>
          <w:color w:val="000000"/>
          <w:sz w:val="20"/>
          <w:szCs w:val="20"/>
        </w:rPr>
      </w:pPr>
      <w:r w:rsidRPr="00622ADF">
        <w:rPr>
          <w:rStyle w:val="FootnoteReference"/>
          <w:rFonts w:ascii="Georgia" w:hAnsi="Georgia"/>
          <w:sz w:val="20"/>
          <w:szCs w:val="20"/>
        </w:rPr>
        <w:footnoteRef/>
      </w:r>
      <w:r w:rsidRPr="00622ADF">
        <w:rPr>
          <w:rFonts w:ascii="Georgia" w:hAnsi="Georgia"/>
          <w:sz w:val="20"/>
          <w:szCs w:val="20"/>
        </w:rPr>
        <w:t xml:space="preserve"> Al-Quran, Surah 6, Verse 162. </w:t>
      </w:r>
    </w:p>
  </w:footnote>
  <w:footnote w:id="25">
    <w:p w:rsidR="00616B06" w:rsidRPr="0072455F" w:rsidRDefault="00616B06" w:rsidP="00616B06">
      <w:pPr>
        <w:shd w:val="clear" w:color="auto" w:fill="FFFFFF"/>
        <w:autoSpaceDE w:val="0"/>
        <w:autoSpaceDN w:val="0"/>
        <w:adjustRightInd w:val="0"/>
        <w:jc w:val="both"/>
        <w:rPr>
          <w:sz w:val="20"/>
          <w:szCs w:val="20"/>
        </w:rPr>
      </w:pPr>
      <w:r w:rsidRPr="0072455F">
        <w:rPr>
          <w:rStyle w:val="FootnoteReference"/>
          <w:sz w:val="20"/>
          <w:szCs w:val="20"/>
        </w:rPr>
        <w:footnoteRef/>
      </w:r>
      <w:r w:rsidRPr="0072455F">
        <w:rPr>
          <w:sz w:val="20"/>
          <w:szCs w:val="20"/>
        </w:rPr>
        <w:t xml:space="preserve"> Hussain S.S. &amp; AshrafS.A. ‘</w:t>
      </w:r>
      <w:r w:rsidRPr="0072455F">
        <w:rPr>
          <w:i/>
          <w:iCs/>
          <w:sz w:val="20"/>
          <w:szCs w:val="20"/>
        </w:rPr>
        <w:t xml:space="preserve">Crisis in Muslim Education’. </w:t>
      </w:r>
      <w:r w:rsidRPr="0072455F">
        <w:rPr>
          <w:sz w:val="20"/>
          <w:szCs w:val="20"/>
        </w:rPr>
        <w:t xml:space="preserve">Jeddah, </w:t>
      </w:r>
      <w:smartTag w:uri="urn:schemas-microsoft-com:office:smarttags" w:element="place">
        <w:smartTag w:uri="urn:schemas-microsoft-com:office:smarttags" w:element="PlaceName">
          <w:r w:rsidRPr="0072455F">
            <w:rPr>
              <w:sz w:val="20"/>
              <w:szCs w:val="20"/>
            </w:rPr>
            <w:t>King</w:t>
          </w:r>
        </w:smartTag>
        <w:smartTag w:uri="urn:schemas-microsoft-com:office:smarttags" w:element="PlaceName">
          <w:r w:rsidRPr="0072455F">
            <w:rPr>
              <w:sz w:val="20"/>
              <w:szCs w:val="20"/>
            </w:rPr>
            <w:t>Abdul'Aziz</w:t>
          </w:r>
        </w:smartTag>
        <w:smartTag w:uri="urn:schemas-microsoft-com:office:smarttags" w:element="PlaceType">
          <w:r w:rsidRPr="0072455F">
            <w:rPr>
              <w:sz w:val="20"/>
              <w:szCs w:val="20"/>
            </w:rPr>
            <w:t>University</w:t>
          </w:r>
        </w:smartTag>
      </w:smartTag>
      <w:r w:rsidRPr="0072455F">
        <w:rPr>
          <w:sz w:val="20"/>
          <w:szCs w:val="20"/>
        </w:rPr>
        <w:t>, p.38.</w:t>
      </w:r>
    </w:p>
  </w:footnote>
  <w:footnote w:id="26">
    <w:p w:rsidR="00616B06" w:rsidRPr="0072455F" w:rsidRDefault="00616B06" w:rsidP="00616B06">
      <w:pPr>
        <w:jc w:val="both"/>
        <w:rPr>
          <w:b/>
          <w:color w:val="000000"/>
          <w:sz w:val="20"/>
          <w:szCs w:val="20"/>
        </w:rPr>
      </w:pPr>
      <w:r w:rsidRPr="0072455F">
        <w:rPr>
          <w:rStyle w:val="FootnoteReference"/>
          <w:sz w:val="20"/>
          <w:szCs w:val="20"/>
        </w:rPr>
        <w:footnoteRef/>
      </w:r>
      <w:r w:rsidRPr="0072455F">
        <w:rPr>
          <w:sz w:val="20"/>
          <w:szCs w:val="20"/>
        </w:rPr>
        <w:t>Murad, K. Muslim Minorities; Towards a Tactical Education Strategy. ‘</w:t>
      </w:r>
      <w:r w:rsidRPr="0072455F">
        <w:rPr>
          <w:i/>
          <w:iCs/>
          <w:sz w:val="20"/>
          <w:szCs w:val="20"/>
        </w:rPr>
        <w:t xml:space="preserve">Inquiry’  </w:t>
      </w:r>
      <w:r w:rsidRPr="0072455F">
        <w:rPr>
          <w:sz w:val="20"/>
          <w:szCs w:val="20"/>
        </w:rPr>
        <w:t xml:space="preserve">(July); 56. </w:t>
      </w:r>
    </w:p>
  </w:footnote>
  <w:footnote w:id="27">
    <w:p w:rsidR="00616B06" w:rsidRPr="00007BB2" w:rsidRDefault="00616B06" w:rsidP="00616B06">
      <w:pPr>
        <w:pStyle w:val="FootnoteText"/>
        <w:jc w:val="both"/>
        <w:rPr>
          <w:rFonts w:ascii="Georgia" w:hAnsi="Georgia"/>
        </w:rPr>
      </w:pPr>
      <w:r>
        <w:rPr>
          <w:rStyle w:val="FootnoteReference"/>
        </w:rPr>
        <w:footnoteRef/>
      </w:r>
      <w:r w:rsidRPr="00007BB2">
        <w:rPr>
          <w:rFonts w:ascii="Georgia" w:hAnsi="Georgia"/>
        </w:rPr>
        <w:t xml:space="preserve">The following quotation from </w:t>
      </w:r>
      <w:r w:rsidRPr="00007BB2">
        <w:rPr>
          <w:rFonts w:ascii="Georgia" w:hAnsi="Georgia"/>
          <w:i/>
          <w:iCs/>
        </w:rPr>
        <w:t>Nur al Albab</w:t>
      </w:r>
      <w:r w:rsidRPr="00007BB2">
        <w:rPr>
          <w:rFonts w:ascii="Georgia" w:hAnsi="Georgia"/>
        </w:rPr>
        <w:t xml:space="preserve"> is always made during iterinent preachings conducted throughout the nooks and corners of his Caliphate (northern Nigeria). The passage was severally quoted to the listeners mostly by the preachers particularly during the early seventees: ‘Most of our educated men leave their wives, their daughters and their captives morally abandoned … without teaching them what God prescribes should be taught to them, and without instructing them in the articles of the law and which concern them. Thus, they leave them ignorant of the rules regarding ablutions, prayers, fasting, business dealings and other duties which they  have to fulfil, and which God commands that they should be taught … This is an abominable crime ..’. See the quoted passage in ‘</w:t>
      </w:r>
      <w:smartTag w:uri="urn:schemas-microsoft-com:office:smarttags" w:element="country-region">
        <w:smartTag w:uri="urn:schemas-microsoft-com:office:smarttags" w:element="place">
          <w:r w:rsidRPr="00007BB2">
            <w:rPr>
              <w:rFonts w:ascii="Georgia" w:hAnsi="Georgia"/>
              <w:i/>
              <w:iCs/>
            </w:rPr>
            <w:t>Nigeria</w:t>
          </w:r>
        </w:smartTag>
      </w:smartTag>
      <w:r w:rsidRPr="00007BB2">
        <w:rPr>
          <w:rFonts w:ascii="Georgia" w:hAnsi="Georgia"/>
          <w:i/>
          <w:iCs/>
        </w:rPr>
        <w:t>’,</w:t>
      </w:r>
      <w:r w:rsidRPr="00007BB2">
        <w:rPr>
          <w:rFonts w:ascii="Georgia" w:hAnsi="Georgia"/>
        </w:rPr>
        <w:t xml:space="preserve"> Uthman bin Fodio: </w:t>
      </w:r>
      <w:r w:rsidRPr="00007BB2">
        <w:rPr>
          <w:rFonts w:ascii="Georgia" w:hAnsi="Georgia"/>
          <w:i/>
          <w:iCs/>
        </w:rPr>
        <w:t>Nur al Albab</w:t>
      </w:r>
      <w:r w:rsidRPr="00007BB2">
        <w:rPr>
          <w:rFonts w:ascii="Georgia" w:hAnsi="Georgia"/>
        </w:rPr>
        <w:t xml:space="preserve">, Federal Government Printing  Department, </w:t>
      </w:r>
      <w:smartTag w:uri="urn:schemas-microsoft-com:office:smarttags" w:element="place">
        <w:smartTag w:uri="urn:schemas-microsoft-com:office:smarttags" w:element="City">
          <w:r w:rsidRPr="00007BB2">
            <w:rPr>
              <w:rFonts w:ascii="Georgia" w:hAnsi="Georgia"/>
            </w:rPr>
            <w:t>Lagos</w:t>
          </w:r>
        </w:smartTag>
      </w:smartTag>
      <w:r w:rsidRPr="00007BB2">
        <w:rPr>
          <w:rFonts w:ascii="Georgia" w:hAnsi="Georgia"/>
        </w:rPr>
        <w:t>, 1960, Page 80.</w:t>
      </w:r>
    </w:p>
  </w:footnote>
  <w:footnote w:id="28">
    <w:p w:rsidR="00616B06" w:rsidRPr="00007BB2" w:rsidRDefault="00616B06" w:rsidP="00616B06">
      <w:pPr>
        <w:pStyle w:val="FootnoteText"/>
        <w:jc w:val="both"/>
        <w:rPr>
          <w:rFonts w:ascii="Georgia" w:hAnsi="Georgia"/>
        </w:rPr>
      </w:pPr>
      <w:r w:rsidRPr="00007BB2">
        <w:rPr>
          <w:rStyle w:val="FootnoteReference"/>
          <w:rFonts w:ascii="Georgia" w:hAnsi="Georgia"/>
        </w:rPr>
        <w:footnoteRef/>
      </w:r>
      <w:r w:rsidRPr="00007BB2">
        <w:rPr>
          <w:rFonts w:ascii="Georgia" w:hAnsi="Georgia"/>
        </w:rPr>
        <w:t xml:space="preserve"> Interview with  Mallam Muhammadu Amin </w:t>
      </w:r>
      <w:r w:rsidRPr="00007BB2">
        <w:rPr>
          <w:rFonts w:ascii="Georgia" w:hAnsi="Georgia"/>
          <w:i/>
          <w:iCs/>
        </w:rPr>
        <w:t>binDan Masani</w:t>
      </w:r>
      <w:r w:rsidRPr="00007BB2">
        <w:rPr>
          <w:rFonts w:ascii="Georgia" w:hAnsi="Georgia"/>
        </w:rPr>
        <w:t xml:space="preserve"> Ahmadu </w:t>
      </w:r>
      <w:r w:rsidRPr="00007BB2">
        <w:rPr>
          <w:rFonts w:ascii="Georgia" w:hAnsi="Georgia"/>
          <w:i/>
          <w:iCs/>
        </w:rPr>
        <w:t>bin Dan Masani</w:t>
      </w:r>
      <w:r>
        <w:rPr>
          <w:rFonts w:ascii="Georgia" w:hAnsi="Georgia"/>
        </w:rPr>
        <w:t xml:space="preserve"> Zakariyya </w:t>
      </w:r>
      <w:r w:rsidRPr="00007BB2">
        <w:rPr>
          <w:rFonts w:ascii="Georgia" w:hAnsi="Georgia"/>
        </w:rPr>
        <w:t>(85 Years) at Masanawa quarters of Katsina  (13</w:t>
      </w:r>
      <w:r w:rsidRPr="00007BB2">
        <w:rPr>
          <w:rFonts w:ascii="Georgia" w:hAnsi="Georgia"/>
          <w:vertAlign w:val="superscript"/>
        </w:rPr>
        <w:t>TH</w:t>
      </w:r>
      <w:r w:rsidRPr="00007BB2">
        <w:rPr>
          <w:rFonts w:ascii="Georgia" w:hAnsi="Georgia"/>
        </w:rPr>
        <w:t xml:space="preserve"> February 2006CE). </w:t>
      </w:r>
    </w:p>
  </w:footnote>
  <w:footnote w:id="29">
    <w:p w:rsidR="00616B06" w:rsidRPr="00007BB2" w:rsidRDefault="00616B06" w:rsidP="00616B06">
      <w:pPr>
        <w:pStyle w:val="FootnoteText"/>
        <w:jc w:val="both"/>
        <w:rPr>
          <w:rFonts w:ascii="Georgia" w:hAnsi="Georgia"/>
          <w:i/>
          <w:iCs/>
        </w:rPr>
      </w:pPr>
      <w:r w:rsidRPr="00007BB2">
        <w:rPr>
          <w:rStyle w:val="FootnoteReference"/>
          <w:rFonts w:ascii="Georgia" w:hAnsi="Georgia"/>
        </w:rPr>
        <w:footnoteRef/>
      </w:r>
      <w:r w:rsidRPr="00007BB2">
        <w:rPr>
          <w:rFonts w:ascii="Georgia" w:hAnsi="Georgia"/>
        </w:rPr>
        <w:t xml:space="preserve"> See also Darma A.H . (1985), </w:t>
      </w:r>
      <w:r w:rsidRPr="00007BB2">
        <w:rPr>
          <w:rFonts w:ascii="Georgia" w:hAnsi="Georgia"/>
          <w:i/>
          <w:iCs/>
        </w:rPr>
        <w:t xml:space="preserve">‘The Contribution of Learned Women to Islamic Education in Hausaland’. </w:t>
      </w:r>
      <w:r w:rsidRPr="00007BB2">
        <w:rPr>
          <w:rFonts w:ascii="Georgia" w:hAnsi="Georgia"/>
        </w:rPr>
        <w:t xml:space="preserve">M.A.Thesis, </w:t>
      </w:r>
      <w:smartTag w:uri="urn:schemas-microsoft-com:office:smarttags" w:element="PlaceName">
        <w:r w:rsidRPr="00007BB2">
          <w:rPr>
            <w:rFonts w:ascii="Georgia" w:hAnsi="Georgia"/>
          </w:rPr>
          <w:t>Bayero</w:t>
        </w:r>
      </w:smartTag>
      <w:smartTag w:uri="urn:schemas-microsoft-com:office:smarttags" w:element="PlaceType">
        <w:r w:rsidRPr="00007BB2">
          <w:rPr>
            <w:rFonts w:ascii="Georgia" w:hAnsi="Georgia"/>
          </w:rPr>
          <w:t>University</w:t>
        </w:r>
      </w:smartTag>
      <w:smartTag w:uri="urn:schemas-microsoft-com:office:smarttags" w:element="place">
        <w:smartTag w:uri="urn:schemas-microsoft-com:office:smarttags" w:element="City">
          <w:r w:rsidRPr="00007BB2">
            <w:rPr>
              <w:rFonts w:ascii="Georgia" w:hAnsi="Georgia"/>
            </w:rPr>
            <w:t>Kano</w:t>
          </w:r>
        </w:smartTag>
      </w:smartTag>
      <w:r w:rsidRPr="00007BB2">
        <w:rPr>
          <w:rFonts w:ascii="Georgia" w:hAnsi="Georgia"/>
        </w:rPr>
        <w:t>. See also Hunwick J. O. (1995) in  ‘</w:t>
      </w:r>
      <w:r>
        <w:rPr>
          <w:rFonts w:ascii="Georgia" w:hAnsi="Georgia"/>
          <w:i/>
          <w:iCs/>
        </w:rPr>
        <w:t xml:space="preserve">Arabic Literature </w:t>
      </w:r>
      <w:r w:rsidRPr="00007BB2">
        <w:rPr>
          <w:rFonts w:ascii="Georgia" w:hAnsi="Georgia"/>
          <w:i/>
          <w:iCs/>
        </w:rPr>
        <w:t>of Africa: The Writings of Central Sudanic Africa’,</w:t>
      </w:r>
      <w:r w:rsidRPr="00007BB2">
        <w:rPr>
          <w:rFonts w:ascii="Georgia" w:hAnsi="Georgia"/>
        </w:rPr>
        <w:t xml:space="preserve"> Volume II, p.354, Netherlands E. J. Brill,</w:t>
      </w:r>
      <w:smartTag w:uri="urn:schemas-microsoft-com:office:smarttags" w:element="place">
        <w:smartTag w:uri="urn:schemas-microsoft-com:office:smarttags" w:element="City">
          <w:r w:rsidRPr="00007BB2">
            <w:rPr>
              <w:rFonts w:ascii="Georgia" w:hAnsi="Georgia"/>
            </w:rPr>
            <w:t>Leiden</w:t>
          </w:r>
        </w:smartTag>
      </w:smartTag>
      <w:r w:rsidRPr="00007BB2">
        <w:rPr>
          <w:rFonts w:ascii="Georgia" w:hAnsi="Georgia"/>
        </w:rPr>
        <w:t>.</w:t>
      </w:r>
    </w:p>
  </w:footnote>
  <w:footnote w:id="30">
    <w:p w:rsidR="00616B06" w:rsidRDefault="00616B06" w:rsidP="00616B06">
      <w:pPr>
        <w:pStyle w:val="FootnoteText"/>
      </w:pPr>
      <w:r w:rsidRPr="00007BB2">
        <w:rPr>
          <w:rStyle w:val="FootnoteReference"/>
          <w:rFonts w:ascii="Georgia" w:hAnsi="Georgia"/>
        </w:rPr>
        <w:footnoteRef/>
      </w:r>
      <w:r w:rsidRPr="00007BB2">
        <w:rPr>
          <w:rFonts w:ascii="Georgia" w:hAnsi="Georgia"/>
        </w:rPr>
        <w:t>All her writings are kept under the custody of her son Mahmud Abani and non is published yet.</w:t>
      </w:r>
    </w:p>
  </w:footnote>
  <w:footnote w:id="31">
    <w:p w:rsidR="00616B06" w:rsidRPr="007D2E9B" w:rsidRDefault="00616B06" w:rsidP="00616B06">
      <w:pPr>
        <w:shd w:val="clear" w:color="auto" w:fill="FFFFFF"/>
        <w:jc w:val="both"/>
        <w:rPr>
          <w:rFonts w:ascii="Georgia" w:hAnsi="Georgia"/>
          <w:sz w:val="20"/>
          <w:szCs w:val="20"/>
          <w:lang w:val="en-GB"/>
        </w:rPr>
      </w:pPr>
      <w:r w:rsidRPr="007D2E9B">
        <w:rPr>
          <w:rStyle w:val="FootnoteReference"/>
        </w:rPr>
        <w:footnoteRef/>
      </w:r>
      <w:r w:rsidRPr="007D2E9B">
        <w:rPr>
          <w:rFonts w:ascii="Georgia" w:hAnsi="Georgia"/>
          <w:sz w:val="20"/>
          <w:szCs w:val="20"/>
          <w:lang w:val="en-GB"/>
        </w:rPr>
        <w:t>The emergence of Islamiyyah system of education is another considerable development of Islamic education in the north. The system could be classified into the children’s Islamiyyah schools and adult literacy classes for men and women. These types of Islamiyyah schools could be found scattered in all the streets of various towns and villages. As regards the acceptance of women education, tremendous success has been achieved</w:t>
      </w:r>
      <w:r>
        <w:rPr>
          <w:rFonts w:ascii="Georgia" w:hAnsi="Georgia"/>
          <w:sz w:val="20"/>
          <w:szCs w:val="20"/>
          <w:lang w:val="en-GB"/>
        </w:rPr>
        <w:t xml:space="preserve"> [Lawal S]</w:t>
      </w:r>
      <w:r w:rsidRPr="007D2E9B">
        <w:rPr>
          <w:rFonts w:ascii="Georgia" w:hAnsi="Georgia"/>
          <w:sz w:val="20"/>
          <w:szCs w:val="20"/>
          <w:lang w:val="en-GB"/>
        </w:rPr>
        <w:t xml:space="preserve">. </w:t>
      </w:r>
    </w:p>
    <w:p w:rsidR="00616B06" w:rsidRPr="007D2E9B" w:rsidRDefault="00616B06" w:rsidP="00616B06">
      <w:pPr>
        <w:pStyle w:val="FootnoteText"/>
        <w:rPr>
          <w:lang w:val="en-GB"/>
        </w:rPr>
      </w:pPr>
    </w:p>
  </w:footnote>
  <w:footnote w:id="32">
    <w:p w:rsidR="00616B06" w:rsidRPr="0067576C" w:rsidRDefault="00616B06" w:rsidP="00616B06">
      <w:pPr>
        <w:pStyle w:val="FootnoteText"/>
        <w:jc w:val="both"/>
        <w:rPr>
          <w:rFonts w:ascii="Georgia" w:hAnsi="Georgia"/>
          <w:lang w:val="en-GB"/>
        </w:rPr>
      </w:pPr>
      <w:r w:rsidRPr="0067576C">
        <w:rPr>
          <w:rStyle w:val="FootnoteReference"/>
          <w:rFonts w:ascii="Georgia" w:hAnsi="Georgia"/>
        </w:rPr>
        <w:footnoteRef/>
      </w:r>
      <w:r w:rsidRPr="0067576C">
        <w:rPr>
          <w:rFonts w:ascii="Georgia" w:hAnsi="Georgia"/>
          <w:lang w:val="en-GB"/>
        </w:rPr>
        <w:t xml:space="preserve">Shehu S. (2005), Muslim Educational Reform Activities in </w:t>
      </w:r>
      <w:smartTag w:uri="urn:schemas-microsoft-com:office:smarttags" w:element="place">
        <w:smartTag w:uri="urn:schemas-microsoft-com:office:smarttags" w:element="country-region">
          <w:r w:rsidRPr="0067576C">
            <w:rPr>
              <w:rFonts w:ascii="Georgia" w:hAnsi="Georgia"/>
              <w:lang w:val="en-GB"/>
            </w:rPr>
            <w:t>Nigeria</w:t>
          </w:r>
        </w:smartTag>
      </w:smartTag>
      <w:r w:rsidRPr="0067576C">
        <w:rPr>
          <w:rFonts w:ascii="Georgia" w:hAnsi="Georgia"/>
          <w:lang w:val="en-GB"/>
        </w:rPr>
        <w:t>: Trends, Issues and Future Directions in ‘</w:t>
      </w:r>
      <w:r w:rsidRPr="0067576C">
        <w:rPr>
          <w:rFonts w:ascii="Georgia" w:hAnsi="Georgia"/>
          <w:i/>
          <w:iCs/>
          <w:lang w:val="en-GB"/>
        </w:rPr>
        <w:t xml:space="preserve">The Muslim Educationb Reform Activities In </w:t>
      </w:r>
      <w:smartTag w:uri="urn:schemas-microsoft-com:office:smarttags" w:element="place">
        <w:smartTag w:uri="urn:schemas-microsoft-com:office:smarttags" w:element="country-region">
          <w:r w:rsidRPr="0067576C">
            <w:rPr>
              <w:rFonts w:ascii="Georgia" w:hAnsi="Georgia"/>
              <w:i/>
              <w:iCs/>
              <w:lang w:val="en-GB"/>
            </w:rPr>
            <w:t>Nigeria</w:t>
          </w:r>
        </w:smartTag>
      </w:smartTag>
      <w:r w:rsidRPr="0067576C">
        <w:rPr>
          <w:rFonts w:ascii="Georgia" w:hAnsi="Georgia"/>
          <w:i/>
          <w:iCs/>
          <w:lang w:val="en-GB"/>
        </w:rPr>
        <w:t>’.</w:t>
      </w:r>
      <w:r w:rsidRPr="0067576C">
        <w:rPr>
          <w:rFonts w:ascii="Georgia" w:hAnsi="Georgia"/>
          <w:lang w:val="en-GB"/>
        </w:rPr>
        <w:t xml:space="preserve"> A joint Publication of the IIIT (</w:t>
      </w:r>
      <w:smartTag w:uri="urn:schemas-microsoft-com:office:smarttags" w:element="country-region">
        <w:r w:rsidRPr="0067576C">
          <w:rPr>
            <w:rFonts w:ascii="Georgia" w:hAnsi="Georgia"/>
            <w:lang w:val="en-GB"/>
          </w:rPr>
          <w:t>Nigeria</w:t>
        </w:r>
      </w:smartTag>
      <w:r w:rsidRPr="0067576C">
        <w:rPr>
          <w:rFonts w:ascii="Georgia" w:hAnsi="Georgia"/>
          <w:lang w:val="en-GB"/>
        </w:rPr>
        <w:t xml:space="preserve">) and Faculty of Education, </w:t>
      </w:r>
      <w:smartTag w:uri="urn:schemas-microsoft-com:office:smarttags" w:element="PlaceName">
        <w:r w:rsidRPr="0067576C">
          <w:rPr>
            <w:rFonts w:ascii="Georgia" w:hAnsi="Georgia"/>
            <w:lang w:val="en-GB"/>
          </w:rPr>
          <w:t>Bayero</w:t>
        </w:r>
      </w:smartTag>
      <w:smartTag w:uri="urn:schemas-microsoft-com:office:smarttags" w:element="PlaceType">
        <w:r w:rsidRPr="0067576C">
          <w:rPr>
            <w:rFonts w:ascii="Georgia" w:hAnsi="Georgia"/>
            <w:lang w:val="en-GB"/>
          </w:rPr>
          <w:t>University</w:t>
        </w:r>
      </w:smartTag>
      <w:r w:rsidRPr="0067576C">
        <w:rPr>
          <w:rFonts w:ascii="Georgia" w:hAnsi="Georgia"/>
          <w:lang w:val="en-GB"/>
        </w:rPr>
        <w:t xml:space="preserve">, </w:t>
      </w:r>
      <w:smartTag w:uri="urn:schemas-microsoft-com:office:smarttags" w:element="place">
        <w:smartTag w:uri="urn:schemas-microsoft-com:office:smarttags" w:element="City">
          <w:r w:rsidRPr="0067576C">
            <w:rPr>
              <w:rFonts w:ascii="Georgia" w:hAnsi="Georgia"/>
              <w:lang w:val="en-GB"/>
            </w:rPr>
            <w:t>Kano</w:t>
          </w:r>
        </w:smartTag>
      </w:smartTag>
      <w:r w:rsidRPr="0067576C">
        <w:rPr>
          <w:rFonts w:ascii="Georgia" w:hAnsi="Georgia"/>
          <w:lang w:val="en-GB"/>
        </w:rPr>
        <w:t>. Nigeria, Benchmark  Publishers Limited, p.20.</w:t>
      </w:r>
    </w:p>
  </w:footnote>
  <w:footnote w:id="33">
    <w:p w:rsidR="00616B06" w:rsidRPr="0059335E" w:rsidRDefault="00616B06" w:rsidP="00616B06">
      <w:pPr>
        <w:pStyle w:val="FootnoteText"/>
        <w:jc w:val="both"/>
        <w:rPr>
          <w:rFonts w:ascii="Georgia" w:hAnsi="Georgia"/>
        </w:rPr>
      </w:pPr>
      <w:r w:rsidRPr="0059335E">
        <w:rPr>
          <w:rStyle w:val="FootnoteReference"/>
          <w:rFonts w:ascii="Georgia" w:hAnsi="Georgia"/>
        </w:rPr>
        <w:footnoteRef/>
      </w:r>
      <w:r w:rsidRPr="0059335E">
        <w:rPr>
          <w:rFonts w:ascii="Georgia" w:hAnsi="Georgia"/>
        </w:rPr>
        <w:t xml:space="preserve"> Lawal S. (2009), Islamic Education in Katsina, Historical and Contemporary Perspectives’, Unpublished PhD Theses presented to Islamic Studies Department, Bayero University, Kano.</w:t>
      </w:r>
    </w:p>
  </w:footnote>
  <w:footnote w:id="34">
    <w:p w:rsidR="00616B06" w:rsidRDefault="00616B06" w:rsidP="00616B06">
      <w:pPr>
        <w:pStyle w:val="FootnoteText"/>
        <w:jc w:val="both"/>
      </w:pPr>
      <w:r>
        <w:rPr>
          <w:rStyle w:val="FootnoteReference"/>
        </w:rPr>
        <w:footnoteRef/>
      </w:r>
      <w:r w:rsidRPr="00F115E2">
        <w:rPr>
          <w:rFonts w:ascii="Georgia" w:hAnsi="Georgia"/>
        </w:rPr>
        <w:t>Bilkisu Y. (1993),</w:t>
      </w:r>
      <w:r w:rsidRPr="00F115E2">
        <w:rPr>
          <w:rFonts w:ascii="Georgia" w:hAnsi="Georgia"/>
          <w:i/>
          <w:iCs/>
        </w:rPr>
        <w:t>’Da’awah and Contemporary Challenges facing Muslim Women in Secular States: Nigerian Case Study’</w:t>
      </w:r>
      <w:r w:rsidRPr="00F115E2">
        <w:rPr>
          <w:rFonts w:ascii="Georgia" w:hAnsi="Georgia"/>
        </w:rPr>
        <w:t xml:space="preserve"> in Islam in Africa – Proceedings of the Islam in Africa Conference, edited by Nura Alkali, Adamu Adamu, Dr. Awwal Yadudu, Dr. Rashid Motem and Haruna Salihi.</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16B06"/>
    <w:rsid w:val="0020432B"/>
    <w:rsid w:val="00325ABD"/>
    <w:rsid w:val="00616B06"/>
    <w:rsid w:val="00636E0E"/>
    <w:rsid w:val="006C55DF"/>
    <w:rsid w:val="008A7C3E"/>
    <w:rsid w:val="00940A5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6B06"/>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uiPriority w:val="9"/>
    <w:unhideWhenUsed/>
    <w:qFormat/>
    <w:rsid w:val="00616B06"/>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7C3E"/>
    <w:pPr>
      <w:spacing w:after="200" w:line="276" w:lineRule="auto"/>
      <w:ind w:left="720"/>
      <w:contextualSpacing/>
    </w:pPr>
    <w:rPr>
      <w:rFonts w:ascii="Calibri" w:eastAsia="Calibri" w:hAnsi="Calibri" w:cs="Arial"/>
      <w:sz w:val="22"/>
      <w:szCs w:val="22"/>
    </w:rPr>
  </w:style>
  <w:style w:type="character" w:customStyle="1" w:styleId="Heading3Char">
    <w:name w:val="Heading 3 Char"/>
    <w:basedOn w:val="DefaultParagraphFont"/>
    <w:link w:val="Heading3"/>
    <w:uiPriority w:val="9"/>
    <w:rsid w:val="00616B06"/>
    <w:rPr>
      <w:rFonts w:asciiTheme="majorHAnsi" w:eastAsiaTheme="majorEastAsia" w:hAnsiTheme="majorHAnsi" w:cstheme="majorBidi"/>
      <w:b/>
      <w:bCs/>
      <w:color w:val="4F81BD" w:themeColor="accent1"/>
      <w:sz w:val="24"/>
      <w:szCs w:val="24"/>
    </w:rPr>
  </w:style>
  <w:style w:type="character" w:styleId="Hyperlink">
    <w:name w:val="Hyperlink"/>
    <w:basedOn w:val="DefaultParagraphFont"/>
    <w:uiPriority w:val="99"/>
    <w:rsid w:val="00616B06"/>
    <w:rPr>
      <w:color w:val="0000FF"/>
      <w:u w:val="single"/>
    </w:rPr>
  </w:style>
  <w:style w:type="paragraph" w:styleId="EndnoteText">
    <w:name w:val="endnote text"/>
    <w:basedOn w:val="Normal"/>
    <w:link w:val="EndnoteTextChar"/>
    <w:uiPriority w:val="99"/>
    <w:semiHidden/>
    <w:unhideWhenUsed/>
    <w:rsid w:val="00616B06"/>
    <w:rPr>
      <w:rFonts w:ascii="Calibri" w:eastAsia="Calibri" w:hAnsi="Calibri"/>
      <w:sz w:val="20"/>
      <w:szCs w:val="20"/>
    </w:rPr>
  </w:style>
  <w:style w:type="character" w:customStyle="1" w:styleId="EndnoteTextChar">
    <w:name w:val="Endnote Text Char"/>
    <w:basedOn w:val="DefaultParagraphFont"/>
    <w:link w:val="EndnoteText"/>
    <w:uiPriority w:val="99"/>
    <w:semiHidden/>
    <w:rsid w:val="00616B06"/>
    <w:rPr>
      <w:rFonts w:ascii="Calibri" w:eastAsia="Calibri" w:hAnsi="Calibri" w:cs="Times New Roman"/>
      <w:sz w:val="20"/>
      <w:szCs w:val="20"/>
    </w:rPr>
  </w:style>
  <w:style w:type="character" w:styleId="EndnoteReference">
    <w:name w:val="endnote reference"/>
    <w:basedOn w:val="DefaultParagraphFont"/>
    <w:uiPriority w:val="99"/>
    <w:semiHidden/>
    <w:unhideWhenUsed/>
    <w:rsid w:val="00616B06"/>
    <w:rPr>
      <w:vertAlign w:val="superscript"/>
    </w:rPr>
  </w:style>
  <w:style w:type="paragraph" w:styleId="FootnoteText">
    <w:name w:val="footnote text"/>
    <w:basedOn w:val="Normal"/>
    <w:link w:val="FootnoteTextChar"/>
    <w:semiHidden/>
    <w:rsid w:val="00616B06"/>
    <w:pPr>
      <w:widowControl w:val="0"/>
      <w:autoSpaceDE w:val="0"/>
      <w:autoSpaceDN w:val="0"/>
      <w:adjustRightInd w:val="0"/>
    </w:pPr>
    <w:rPr>
      <w:rFonts w:ascii="Southern" w:hAnsi="Southern"/>
      <w:sz w:val="20"/>
      <w:szCs w:val="20"/>
    </w:rPr>
  </w:style>
  <w:style w:type="character" w:customStyle="1" w:styleId="FootnoteTextChar">
    <w:name w:val="Footnote Text Char"/>
    <w:basedOn w:val="DefaultParagraphFont"/>
    <w:link w:val="FootnoteText"/>
    <w:semiHidden/>
    <w:rsid w:val="00616B06"/>
    <w:rPr>
      <w:rFonts w:ascii="Southern" w:eastAsia="Times New Roman" w:hAnsi="Southern" w:cs="Times New Roman"/>
      <w:sz w:val="20"/>
      <w:szCs w:val="20"/>
    </w:rPr>
  </w:style>
  <w:style w:type="character" w:styleId="FootnoteReference">
    <w:name w:val="footnote reference"/>
    <w:basedOn w:val="DefaultParagraphFont"/>
    <w:semiHidden/>
    <w:rsid w:val="00616B06"/>
    <w:rPr>
      <w:vertAlign w:val="superscript"/>
    </w:rPr>
  </w:style>
  <w:style w:type="character" w:styleId="Emphasis">
    <w:name w:val="Emphasis"/>
    <w:basedOn w:val="DefaultParagraphFont"/>
    <w:uiPriority w:val="20"/>
    <w:qFormat/>
    <w:rsid w:val="00616B06"/>
    <w:rPr>
      <w:i/>
      <w:iCs/>
    </w:rPr>
  </w:style>
  <w:style w:type="paragraph" w:customStyle="1" w:styleId="bibliographie">
    <w:name w:val="bibliographie"/>
    <w:basedOn w:val="Normal"/>
    <w:rsid w:val="00616B0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inwent.org/E+Z/content/archive-eng/03-2005/foc_art3.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alwalmal@yahoo.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5521</Words>
  <Characters>31476</Characters>
  <Application>Microsoft Office Word</Application>
  <DocSecurity>0</DocSecurity>
  <Lines>262</Lines>
  <Paragraphs>73</Paragraphs>
  <ScaleCrop>false</ScaleCrop>
  <Company>Deftones</Company>
  <LinksUpToDate>false</LinksUpToDate>
  <CharactersWithSpaces>36924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SALIHU</dc:creator>
  <cp:lastModifiedBy>DR SALIHU</cp:lastModifiedBy>
  <cp:revision>1</cp:revision>
  <dcterms:created xsi:type="dcterms:W3CDTF">2015-05-16T17:26:00Z</dcterms:created>
  <dcterms:modified xsi:type="dcterms:W3CDTF">2015-05-16T17:27:00Z</dcterms:modified>
</cp:coreProperties>
</file>